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ind w:left="426" w:hanging="426"/>
        <w:rPr>
          <w:rFonts w:ascii="Century Gothic" w:hAnsi="Century Gothic"/>
        </w:rPr>
      </w:pPr>
      <w:r>
        <w:rPr>
          <w:rFonts w:cs="Times New Roman (Corpo CS)" w:ascii="Century Gothic" w:hAnsi="Century Gothic"/>
          <w:b/>
          <w:sz w:val="28"/>
        </w:rPr>
        <w:t xml:space="preserve">Identificação do Processo    </w:t>
      </w:r>
      <w:r>
        <w:rPr>
          <w:rFonts w:ascii="Century Gothic" w:hAnsi="Century Gothic"/>
        </w:rPr>
        <w:t xml:space="preserve">                                                                              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numPr>
          <w:ilvl w:val="0"/>
          <w:numId w:val="6"/>
        </w:numPr>
        <w:rPr>
          <w:rFonts w:ascii="Century Gothic" w:hAnsi="Century Gothic"/>
          <w:i/>
          <w:i/>
          <w:iCs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Realizar pagamento de perícias judiciais.</w:t>
      </w:r>
    </w:p>
    <w:p>
      <w:pPr>
        <w:pStyle w:val="Normal"/>
        <w:rPr>
          <w:rFonts w:ascii="Century Gothic" w:hAnsi="Century Gothic"/>
          <w:i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ind w:left="426" w:hanging="426"/>
        <w:rPr>
          <w:rFonts w:ascii="Century Gothic" w:hAnsi="Century Gothic"/>
        </w:rPr>
      </w:pPr>
      <w:r>
        <w:rPr>
          <w:rFonts w:cs="Times New Roman (Corpo CS)" w:ascii="Century Gothic" w:hAnsi="Century Gothic"/>
          <w:b/>
          <w:sz w:val="28"/>
        </w:rPr>
        <w:t>Unidade Organizacional Responsável pelo Processo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numPr>
          <w:ilvl w:val="0"/>
          <w:numId w:val="4"/>
        </w:numPr>
        <w:rPr>
          <w:rFonts w:ascii="Century Gothic" w:hAnsi="Century Gothic"/>
          <w:i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Seção de Orçamento e Finanças (SOF/JFSE);</w:t>
      </w:r>
    </w:p>
    <w:p>
      <w:pPr>
        <w:pStyle w:val="Normal"/>
        <w:numPr>
          <w:ilvl w:val="0"/>
          <w:numId w:val="4"/>
        </w:numPr>
        <w:rPr>
          <w:rFonts w:ascii="Century Gothic" w:hAnsi="Century Gothic"/>
          <w:i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Gestor do processo: Eloi Junio Frota Monteiro.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ind w:left="426" w:hanging="426"/>
        <w:rPr>
          <w:rFonts w:ascii="Century Gothic" w:hAnsi="Century Gothic"/>
        </w:rPr>
      </w:pPr>
      <w:r>
        <w:rPr>
          <w:rFonts w:cs="Times New Roman (Corpo CS)" w:ascii="Century Gothic" w:hAnsi="Century Gothic"/>
          <w:b/>
          <w:sz w:val="28"/>
        </w:rPr>
        <w:t xml:space="preserve">Objetivo do Processo    </w:t>
      </w:r>
      <w:r>
        <w:rPr>
          <w:rFonts w:ascii="Century Gothic" w:hAnsi="Century Gothic"/>
        </w:rPr>
        <w:t xml:space="preserve">                                                                              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numPr>
          <w:ilvl w:val="0"/>
          <w:numId w:val="5"/>
        </w:numPr>
        <w:jc w:val="both"/>
        <w:rPr>
          <w:rFonts w:ascii="Century Gothic" w:hAnsi="Century Gothic"/>
          <w:i/>
          <w:i/>
          <w:iCs/>
          <w:color w:val="000000" w:themeColor="text1"/>
          <w:sz w:val="22"/>
          <w:szCs w:val="22"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Garantir o pagamento dos honorários relacionados as perícias judiciais da Assistência Judiciária Gratuita (AJG).</w:t>
      </w:r>
    </w:p>
    <w:p>
      <w:pPr>
        <w:pStyle w:val="Normal"/>
        <w:rPr>
          <w:rFonts w:ascii="Century Gothic" w:hAnsi="Century Gothic"/>
          <w:i/>
          <w:i/>
          <w:color w:val="000000" w:themeColor="text1"/>
          <w:sz w:val="22"/>
          <w:szCs w:val="22"/>
        </w:rPr>
      </w:pPr>
      <w:r>
        <w:rPr>
          <w:rFonts w:ascii="Century Gothic" w:hAnsi="Century Gothic"/>
          <w:i/>
          <w:color w:val="000000" w:themeColor="text1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ind w:left="426" w:hanging="426"/>
        <w:rPr>
          <w:rFonts w:ascii="Century Gothic" w:hAnsi="Century Gothic"/>
        </w:rPr>
      </w:pPr>
      <w:r>
        <w:rPr>
          <w:rFonts w:cs="Times New Roman (Corpo CS)" w:ascii="Century Gothic" w:hAnsi="Century Gothic"/>
          <w:b/>
          <w:sz w:val="28"/>
        </w:rPr>
        <w:t>Fornecedores de Insumos</w:t>
      </w:r>
    </w:p>
    <w:p>
      <w:pPr>
        <w:pStyle w:val="Normal"/>
        <w:rPr>
          <w:rFonts w:ascii="Century Gothic" w:hAnsi="Century Gothic"/>
          <w:i w:val="false"/>
          <w:i w:val="false"/>
          <w:iCs w:val="false"/>
          <w:sz w:val="22"/>
          <w:szCs w:val="22"/>
        </w:rPr>
      </w:pPr>
      <w:r>
        <w:rPr>
          <w:rFonts w:ascii="Century Gothic" w:hAnsi="Century Gothic"/>
          <w:i w:val="false"/>
          <w:iCs w:val="false"/>
          <w:sz w:val="22"/>
          <w:szCs w:val="22"/>
        </w:rPr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240" w:before="57" w:after="57"/>
        <w:ind w:left="737" w:right="0" w:hanging="340"/>
        <w:contextualSpacing/>
        <w:jc w:val="both"/>
        <w:rPr>
          <w:rFonts w:ascii="Century Gothic" w:hAnsi="Century Gothic"/>
          <w:i/>
          <w:i/>
          <w:iCs/>
          <w:color w:val="000000" w:themeColor="text1"/>
          <w:sz w:val="22"/>
          <w:szCs w:val="22"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Seção de Orçamento e Finanças (SOF/TRF5): Informe sobre disponibilidade do recurso financeiro; e</w:t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240" w:before="57" w:after="57"/>
        <w:ind w:left="737" w:right="0" w:hanging="340"/>
        <w:contextualSpacing/>
        <w:jc w:val="both"/>
        <w:rPr>
          <w:rFonts w:ascii="Century Gothic" w:hAnsi="Century Gothic"/>
          <w:i/>
          <w:i/>
          <w:iCs/>
          <w:color w:val="000000" w:themeColor="text1"/>
          <w:sz w:val="22"/>
          <w:szCs w:val="22"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Sistema AJG/JF: Dados registrados por servidores das varas federais e varas estaduais no exercício da jurisdição federal delegada.</w:t>
      </w:r>
    </w:p>
    <w:p>
      <w:pPr>
        <w:pStyle w:val="ListParagraph"/>
        <w:rPr>
          <w:rFonts w:ascii="Century Gothic" w:hAnsi="Century Gothic"/>
          <w:i/>
          <w:i/>
          <w:color w:val="000000" w:themeColor="text1"/>
          <w:sz w:val="22"/>
          <w:szCs w:val="22"/>
        </w:rPr>
      </w:pPr>
      <w:r>
        <w:rPr>
          <w:rFonts w:ascii="Century Gothic" w:hAnsi="Century Gothic"/>
          <w:i/>
          <w:color w:val="000000" w:themeColor="text1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ind w:left="426" w:hanging="426"/>
        <w:rPr>
          <w:rFonts w:ascii="Century Gothic" w:hAnsi="Century Gothic"/>
        </w:rPr>
      </w:pPr>
      <w:r>
        <w:rPr>
          <w:rFonts w:cs="Times New Roman (Corpo CS)" w:ascii="Century Gothic" w:hAnsi="Century Gothic"/>
          <w:b/>
          <w:sz w:val="28"/>
        </w:rPr>
        <w:t xml:space="preserve">Consumidores das Saídas </w:t>
      </w:r>
    </w:p>
    <w:p>
      <w:pPr>
        <w:pStyle w:val="Normal"/>
        <w:rPr>
          <w:rFonts w:ascii="Century Gothic" w:hAnsi="Century Gothic"/>
          <w:i/>
          <w:i/>
          <w:color w:val="2F5496" w:themeColor="accent1" w:themeShade="bf"/>
          <w:sz w:val="22"/>
          <w:szCs w:val="22"/>
        </w:rPr>
      </w:pPr>
      <w:r>
        <w:rPr>
          <w:rFonts w:ascii="Century Gothic" w:hAnsi="Century Gothic"/>
          <w:i/>
          <w:color w:val="2F5496" w:themeColor="accent1" w:themeShade="bf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i/>
          <w:i/>
          <w:iCs/>
          <w:color w:val="000000" w:themeColor="text1"/>
          <w:sz w:val="22"/>
          <w:szCs w:val="22"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Peritos cadastrados e validados pela Justiça Federal em nível nacional, no sistema AJG/JF; 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i/>
          <w:i/>
          <w:iCs/>
          <w:color w:val="000000" w:themeColor="text1"/>
          <w:sz w:val="22"/>
          <w:szCs w:val="22"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Instituição bancária.</w:t>
      </w:r>
    </w:p>
    <w:p>
      <w:pPr>
        <w:pStyle w:val="Normal"/>
        <w:rPr>
          <w:rFonts w:ascii="Century Gothic" w:hAnsi="Century Gothic"/>
          <w:i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ind w:left="426" w:hanging="426"/>
        <w:rPr>
          <w:rFonts w:ascii="Century Gothic" w:hAnsi="Century Gothic"/>
        </w:rPr>
      </w:pPr>
      <w:r>
        <w:rPr>
          <w:rFonts w:cs="Times New Roman (Corpo CS)" w:ascii="Century Gothic" w:hAnsi="Century Gothic"/>
          <w:b/>
          <w:sz w:val="28"/>
        </w:rPr>
        <w:t>Procedimentos Relacionados</w:t>
      </w:r>
    </w:p>
    <w:p>
      <w:pPr>
        <w:pStyle w:val="Normal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i/>
          <w:i/>
          <w:iCs/>
          <w:color w:val="000000" w:themeColor="text1"/>
          <w:sz w:val="22"/>
          <w:szCs w:val="22"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Cadastramento de servidores das varas no sistema AJG/JF;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i/>
          <w:i/>
          <w:iCs/>
          <w:color w:val="000000" w:themeColor="text1"/>
          <w:sz w:val="22"/>
          <w:szCs w:val="22"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 xml:space="preserve">Cadastramento do perito no sistema AJG/JF; 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i/>
          <w:i/>
          <w:iCs/>
          <w:color w:val="000000" w:themeColor="text1"/>
          <w:sz w:val="22"/>
          <w:szCs w:val="22"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Validação do cadastro do perito no sistema AJG/JF;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i/>
          <w:i/>
          <w:iCs/>
          <w:color w:val="000000" w:themeColor="text1"/>
          <w:sz w:val="22"/>
          <w:szCs w:val="22"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Criação da nomeação do perito no sistema AJG/JF;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i/>
          <w:i/>
          <w:iCs/>
          <w:color w:val="000000" w:themeColor="text1"/>
          <w:sz w:val="22"/>
          <w:szCs w:val="22"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Validação da nomeação do perito no sistema AJG/JF; e</w:t>
      </w:r>
    </w:p>
    <w:p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i/>
          <w:i/>
          <w:iCs/>
          <w:color w:val="000000" w:themeColor="text1"/>
          <w:sz w:val="22"/>
          <w:szCs w:val="22"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Disponibilidade orçamentária.</w:t>
      </w:r>
    </w:p>
    <w:p>
      <w:pPr>
        <w:pStyle w:val="ListParagrap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ind w:left="426" w:hanging="426"/>
        <w:rPr>
          <w:rFonts w:ascii="Century Gothic" w:hAnsi="Century Gothic"/>
        </w:rPr>
      </w:pPr>
      <w:r>
        <w:rPr>
          <w:rFonts w:cs="Times New Roman (Corpo CS)" w:ascii="Century Gothic" w:hAnsi="Century Gothic"/>
          <w:b/>
          <w:sz w:val="28"/>
        </w:rPr>
        <w:t>Periodicidade de Execução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i/>
          <w:color w:val="000000" w:themeShade="bf"/>
          <w:sz w:val="22"/>
          <w:szCs w:val="22"/>
        </w:rPr>
        <w:t>( ) Anual.     (</w:t>
      </w:r>
      <w:r>
        <w:rPr>
          <w:rFonts w:ascii="Century Gothic" w:hAnsi="Century Gothic"/>
          <w:b/>
          <w:i/>
          <w:color w:val="000000" w:themeColor="text1"/>
          <w:sz w:val="22"/>
          <w:szCs w:val="22"/>
        </w:rPr>
        <w:t>X</w:t>
      </w:r>
      <w:r>
        <w:rPr>
          <w:rFonts w:ascii="Century Gothic" w:hAnsi="Century Gothic"/>
          <w:i/>
          <w:color w:val="000000" w:themeShade="bf"/>
          <w:sz w:val="22"/>
          <w:szCs w:val="22"/>
        </w:rPr>
        <w:t>) Mensal.     ( ) Semanal.     ( ) Diário.    ( ) Sob demanda.  ( )Outros: ________</w:t>
      </w:r>
    </w:p>
    <w:p>
      <w:pPr>
        <w:pStyle w:val="Normal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ind w:left="426" w:hanging="426"/>
        <w:rPr>
          <w:rFonts w:ascii="Century Gothic" w:hAnsi="Century Gothic"/>
        </w:rPr>
      </w:pPr>
      <w:r>
        <w:rPr>
          <w:rFonts w:cs="Times New Roman (Corpo CS)" w:ascii="Century Gothic" w:hAnsi="Century Gothic"/>
          <w:b/>
          <w:sz w:val="28"/>
        </w:rPr>
        <w:t xml:space="preserve">Regulamentação do Processo    </w:t>
      </w:r>
      <w:r>
        <w:rPr>
          <w:rFonts w:ascii="Century Gothic" w:hAnsi="Century Gothic"/>
        </w:rPr>
        <w:t xml:space="preserve">                                                                              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numPr>
          <w:ilvl w:val="0"/>
          <w:numId w:val="9"/>
        </w:numPr>
        <w:jc w:val="both"/>
        <w:rPr>
          <w:rFonts w:ascii="Century Gothic" w:hAnsi="Century Gothic"/>
          <w:i/>
          <w:i/>
          <w:iCs/>
          <w:color w:val="000000"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Edital n. 24/2014-JFSE</w:t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>
          <w:rFonts w:ascii="Century Gothic" w:hAnsi="Century Gothic"/>
          <w:i/>
          <w:iCs/>
          <w:color w:val="000000" w:themeColor="text1"/>
          <w:sz w:val="20"/>
          <w:szCs w:val="20"/>
        </w:rPr>
        <w:t>(</w:t>
      </w:r>
      <w:hyperlink r:id="rId2">
        <w:r>
          <w:rPr>
            <w:rStyle w:val="LinkdaInternet"/>
            <w:rFonts w:ascii="Century Gothic" w:hAnsi="Century Gothic"/>
            <w:i/>
            <w:iCs/>
            <w:color w:val="000000" w:themeColor="text1"/>
            <w:sz w:val="20"/>
            <w:szCs w:val="20"/>
          </w:rPr>
          <w:t>https://www.jfse.jus.br/arquivos/Edital242014.pdf</w:t>
        </w:r>
      </w:hyperlink>
      <w:r>
        <w:rPr>
          <w:rFonts w:ascii="Century Gothic" w:hAnsi="Century Gothic"/>
          <w:i/>
          <w:iCs/>
          <w:color w:val="000000" w:themeColor="text1"/>
          <w:sz w:val="20"/>
          <w:szCs w:val="20"/>
        </w:rPr>
        <w:t>);</w:t>
      </w:r>
    </w:p>
    <w:p>
      <w:pPr>
        <w:pStyle w:val="Normal"/>
        <w:numPr>
          <w:ilvl w:val="0"/>
          <w:numId w:val="9"/>
        </w:numPr>
        <w:jc w:val="both"/>
        <w:rPr>
          <w:rFonts w:ascii="Century Gothic" w:hAnsi="Century Gothic"/>
          <w:i/>
          <w:i/>
          <w:iCs/>
          <w:color w:val="000000" w:themeShade="bf"/>
          <w:sz w:val="22"/>
          <w:szCs w:val="22"/>
        </w:rPr>
      </w:pPr>
      <w:r>
        <w:rPr>
          <w:rFonts w:ascii="Century Gothic" w:hAnsi="Century Gothic"/>
          <w:i/>
          <w:iCs/>
          <w:color w:val="000000" w:themeColor="text1" w:themeShade="bf"/>
          <w:sz w:val="22"/>
          <w:szCs w:val="22"/>
        </w:rPr>
        <w:t>Resolução n. 305/2014-CJF</w:t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>
          <w:rFonts w:ascii="Century Gothic" w:hAnsi="Century Gothic"/>
          <w:i/>
          <w:iCs/>
          <w:color w:val="000000" w:themeColor="text1" w:themeShade="bf"/>
          <w:sz w:val="20"/>
          <w:szCs w:val="20"/>
        </w:rPr>
        <w:t>(</w:t>
      </w:r>
      <w:hyperlink r:id="rId3">
        <w:r>
          <w:rPr>
            <w:rStyle w:val="LinkdaInternet"/>
            <w:rFonts w:ascii="Century Gothic" w:hAnsi="Century Gothic"/>
            <w:i/>
            <w:iCs/>
            <w:color w:val="000000" w:themeColor="text1" w:themeShade="bf"/>
            <w:sz w:val="20"/>
            <w:szCs w:val="20"/>
          </w:rPr>
          <w:t>https://www.cjf.jus.br/publico/biblioteca/Res%20305-2014.pdf</w:t>
        </w:r>
      </w:hyperlink>
      <w:r>
        <w:rPr>
          <w:rFonts w:ascii="Century Gothic" w:hAnsi="Century Gothic"/>
          <w:i/>
          <w:iCs/>
          <w:color w:val="000000" w:themeColor="text1" w:themeShade="bf"/>
          <w:sz w:val="20"/>
          <w:szCs w:val="20"/>
        </w:rPr>
        <w:t>); e</w:t>
      </w:r>
    </w:p>
    <w:p>
      <w:pPr>
        <w:pStyle w:val="Normal"/>
        <w:numPr>
          <w:ilvl w:val="0"/>
          <w:numId w:val="9"/>
        </w:numPr>
        <w:jc w:val="both"/>
        <w:rPr/>
      </w:pPr>
      <w:r>
        <w:rPr>
          <w:rFonts w:ascii="Century Gothic" w:hAnsi="Century Gothic"/>
          <w:i/>
          <w:iCs/>
          <w:color w:val="000000" w:themeColor="text1" w:themeShade="bf"/>
          <w:sz w:val="22"/>
          <w:szCs w:val="22"/>
        </w:rPr>
        <w:t xml:space="preserve">Lei Federal n. 13.876, de 20 de Setembro de 2019 </w:t>
      </w:r>
      <w:r>
        <w:rPr>
          <w:rFonts w:ascii="Century Gothic" w:hAnsi="Century Gothic"/>
          <w:i/>
          <w:iCs/>
          <w:color w:val="000000" w:themeColor="text1" w:themeShade="bf"/>
          <w:sz w:val="20"/>
          <w:szCs w:val="20"/>
        </w:rPr>
        <w:t>(</w:t>
      </w:r>
      <w:hyperlink r:id="rId4">
        <w:r>
          <w:rPr>
            <w:rStyle w:val="LinkdaInternet"/>
            <w:rFonts w:ascii="Century Gothic" w:hAnsi="Century Gothic"/>
            <w:i/>
            <w:iCs/>
            <w:color w:val="000000" w:themeColor="text1" w:themeShade="bf"/>
            <w:sz w:val="20"/>
            <w:szCs w:val="20"/>
          </w:rPr>
          <w:t>http://www.planalto.gov.br/ccivil_03/_ato2019-2022/2019/lei/L13876.htm</w:t>
        </w:r>
      </w:hyperlink>
      <w:r>
        <w:rPr>
          <w:rFonts w:ascii="Century Gothic" w:hAnsi="Century Gothic"/>
          <w:i/>
          <w:iCs/>
          <w:color w:val="000000" w:themeColor="text1" w:themeShade="bf"/>
          <w:sz w:val="20"/>
          <w:szCs w:val="20"/>
        </w:rPr>
        <w:t>).</w:t>
      </w:r>
    </w:p>
    <w:p>
      <w:pPr>
        <w:pStyle w:val="Normal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ind w:left="426" w:hanging="426"/>
        <w:rPr>
          <w:rFonts w:ascii="Century Gothic" w:hAnsi="Century Gothic"/>
        </w:rPr>
      </w:pPr>
      <w:r>
        <w:rPr>
          <w:rFonts w:cs="Times New Roman (Corpo CS)" w:ascii="Century Gothic" w:hAnsi="Century Gothic"/>
          <w:b/>
          <w:sz w:val="28"/>
        </w:rPr>
        <w:t>Recursos Tecnológicos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2"/>
        </w:numPr>
        <w:rPr>
          <w:rFonts w:ascii="Century Gothic" w:hAnsi="Century Gothic"/>
          <w:i/>
          <w:i/>
          <w:iCs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AJG/JF;</w:t>
      </w:r>
    </w:p>
    <w:p>
      <w:pPr>
        <w:pStyle w:val="ListParagraph"/>
        <w:numPr>
          <w:ilvl w:val="0"/>
          <w:numId w:val="2"/>
        </w:numPr>
        <w:rPr>
          <w:rFonts w:ascii="Century Gothic" w:hAnsi="Century Gothic"/>
          <w:i/>
          <w:i/>
          <w:iCs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SEI;</w:t>
      </w:r>
    </w:p>
    <w:p>
      <w:pPr>
        <w:pStyle w:val="ListParagraph"/>
        <w:numPr>
          <w:ilvl w:val="0"/>
          <w:numId w:val="2"/>
        </w:numPr>
        <w:rPr>
          <w:rFonts w:ascii="Century Gothic" w:hAnsi="Century Gothic"/>
          <w:i/>
          <w:i/>
          <w:iCs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SIAFI; e</w:t>
      </w:r>
    </w:p>
    <w:p>
      <w:pPr>
        <w:pStyle w:val="ListParagraph"/>
        <w:numPr>
          <w:ilvl w:val="0"/>
          <w:numId w:val="2"/>
        </w:numPr>
        <w:rPr>
          <w:rFonts w:ascii="Century Gothic" w:hAnsi="Century Gothic"/>
          <w:i/>
          <w:i/>
          <w:iCs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Correio eletrônico.</w:t>
      </w:r>
    </w:p>
    <w:p>
      <w:pPr>
        <w:pStyle w:val="Normal"/>
        <w:rPr>
          <w:rFonts w:ascii="Century Gothic" w:hAnsi="Century Gothic"/>
          <w:i/>
          <w:i/>
          <w:color w:val="2F5496" w:themeColor="accent1" w:themeShade="bf"/>
          <w:sz w:val="22"/>
          <w:szCs w:val="22"/>
        </w:rPr>
      </w:pPr>
      <w:r>
        <w:rPr>
          <w:rFonts w:ascii="Century Gothic" w:hAnsi="Century Gothic"/>
          <w:i/>
          <w:color w:val="2F5496" w:themeColor="accent1" w:themeShade="bf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ind w:left="426" w:hanging="426"/>
        <w:rPr>
          <w:rFonts w:ascii="Century Gothic" w:hAnsi="Century Gothic"/>
        </w:rPr>
      </w:pPr>
      <w:r>
        <w:rPr>
          <w:rFonts w:cs="Times New Roman (Corpo CS)" w:ascii="Century Gothic" w:hAnsi="Century Gothic"/>
          <w:b/>
          <w:sz w:val="28"/>
        </w:rPr>
        <w:t>Recursos Humanos - Competências e Conhecimentos</w:t>
      </w:r>
    </w:p>
    <w:p>
      <w:pPr>
        <w:pStyle w:val="Normal"/>
        <w:rPr>
          <w:i/>
          <w:i/>
          <w:color w:val="2F5496" w:themeColor="accent1" w:themeShade="bf"/>
          <w:sz w:val="22"/>
          <w:szCs w:val="22"/>
        </w:rPr>
      </w:pPr>
      <w:r>
        <w:rPr>
          <w:i/>
          <w:color w:val="2F5496" w:themeColor="accent1" w:themeShade="bf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rPr>
          <w:i/>
          <w:i/>
          <w:iCs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NJ/JFSE;</w:t>
      </w:r>
    </w:p>
    <w:p>
      <w:pPr>
        <w:pStyle w:val="ListParagraph"/>
        <w:numPr>
          <w:ilvl w:val="0"/>
          <w:numId w:val="2"/>
        </w:numPr>
        <w:rPr>
          <w:rFonts w:ascii="Century Gothic" w:hAnsi="Century Gothic"/>
          <w:i/>
          <w:i/>
          <w:iCs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Varas Federais e Estaduais – no exercício da jurisdição federal delegada;</w:t>
      </w:r>
    </w:p>
    <w:p>
      <w:pPr>
        <w:pStyle w:val="ListParagraph"/>
        <w:numPr>
          <w:ilvl w:val="0"/>
          <w:numId w:val="2"/>
        </w:numPr>
        <w:rPr>
          <w:rFonts w:ascii="Century Gothic" w:hAnsi="Century Gothic"/>
          <w:i/>
          <w:i/>
          <w:iCs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SOF/JFSE;</w:t>
      </w:r>
    </w:p>
    <w:p>
      <w:pPr>
        <w:pStyle w:val="ListParagraph"/>
        <w:numPr>
          <w:ilvl w:val="0"/>
          <w:numId w:val="2"/>
        </w:numPr>
        <w:rPr>
          <w:rFonts w:ascii="Century Gothic" w:hAnsi="Century Gothic"/>
          <w:i/>
          <w:i/>
          <w:iCs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SECAD/JFSE; e</w:t>
      </w:r>
    </w:p>
    <w:p>
      <w:pPr>
        <w:pStyle w:val="ListParagraph"/>
        <w:numPr>
          <w:ilvl w:val="0"/>
          <w:numId w:val="2"/>
        </w:numPr>
        <w:rPr>
          <w:rFonts w:ascii="Century Gothic" w:hAnsi="Century Gothic"/>
          <w:i/>
          <w:i/>
          <w:iCs/>
        </w:rPr>
      </w:pPr>
      <w:r>
        <w:rPr>
          <w:rFonts w:ascii="Century Gothic" w:hAnsi="Century Gothic"/>
          <w:i/>
          <w:iCs/>
          <w:color w:val="000000" w:themeColor="text1"/>
          <w:sz w:val="22"/>
          <w:szCs w:val="22"/>
        </w:rPr>
        <w:t>Direção do Foro da JFSE.</w:t>
      </w:r>
    </w:p>
    <w:p>
      <w:pPr>
        <w:pStyle w:val="Normal"/>
        <w:rPr>
          <w:rFonts w:ascii="Century Gothic" w:hAnsi="Century Gothic"/>
          <w:i/>
          <w:i/>
          <w:color w:val="2F5496" w:themeColor="accent1" w:themeShade="bf"/>
          <w:sz w:val="22"/>
          <w:szCs w:val="22"/>
        </w:rPr>
      </w:pPr>
      <w:r>
        <w:rPr>
          <w:rFonts w:ascii="Century Gothic" w:hAnsi="Century Gothic"/>
          <w:i/>
          <w:color w:val="2F5496" w:themeColor="accent1" w:themeShade="bf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ind w:left="426" w:hanging="426"/>
        <w:rPr>
          <w:rFonts w:ascii="Century Gothic" w:hAnsi="Century Gothic"/>
        </w:rPr>
      </w:pPr>
      <w:r>
        <w:rPr>
          <w:rFonts w:cs="Times New Roman (Corpo CS)" w:ascii="Century Gothic" w:hAnsi="Century Gothic"/>
          <w:b/>
          <w:sz w:val="28"/>
        </w:rPr>
        <w:t xml:space="preserve"> </w:t>
      </w:r>
      <w:r>
        <w:rPr>
          <w:rFonts w:cs="Times New Roman (Corpo CS)" w:ascii="Century Gothic" w:hAnsi="Century Gothic"/>
          <w:b/>
          <w:sz w:val="28"/>
        </w:rPr>
        <w:t>Mensuração de Desempenho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i/>
          <w:color w:val="000000" w:themeShade="bf"/>
          <w:sz w:val="22"/>
          <w:szCs w:val="22"/>
        </w:rPr>
        <w:t>Não há indicador de desempenho para o processo.</w:t>
      </w:r>
      <w:bookmarkStart w:id="0" w:name="_GoBack"/>
      <w:bookmarkEnd w:id="0"/>
    </w:p>
    <w:p>
      <w:pPr>
        <w:pStyle w:val="Normal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Normal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tbl>
      <w:tblPr>
        <w:tblStyle w:val="Tabelacomgrade"/>
        <w:tblW w:w="84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2"/>
        <w:gridCol w:w="6365"/>
      </w:tblGrid>
      <w:tr>
        <w:trPr>
          <w:trHeight w:val="340" w:hRule="atLeast"/>
        </w:trPr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Ficha elaborada por</w:t>
            </w:r>
          </w:p>
        </w:tc>
        <w:tc>
          <w:tcPr>
            <w:tcW w:w="6365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i/>
                <w:i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sz w:val="22"/>
                <w:szCs w:val="22"/>
              </w:rPr>
              <w:t>Marcel Oliveira Aragão</w:t>
            </w:r>
          </w:p>
        </w:tc>
      </w:tr>
      <w:tr>
        <w:trPr>
          <w:trHeight w:val="340" w:hRule="atLeast"/>
        </w:trPr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Data</w:t>
            </w:r>
          </w:p>
        </w:tc>
        <w:tc>
          <w:tcPr>
            <w:tcW w:w="6365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i/>
                <w:i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sz w:val="22"/>
                <w:szCs w:val="22"/>
              </w:rPr>
              <w:t>25/11/2022</w:t>
            </w:r>
          </w:p>
        </w:tc>
      </w:tr>
      <w:tr>
        <w:trPr>
          <w:trHeight w:val="340" w:hRule="atLeast"/>
        </w:trPr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Versão</w:t>
            </w:r>
          </w:p>
        </w:tc>
        <w:tc>
          <w:tcPr>
            <w:tcW w:w="6365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i/>
                <w:i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sz w:val="22"/>
                <w:szCs w:val="22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948055" cy="362585"/>
          <wp:effectExtent l="0" t="0" r="0" b="0"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1976120</wp:posOffset>
              </wp:positionH>
              <wp:positionV relativeFrom="paragraph">
                <wp:posOffset>-129540</wp:posOffset>
              </wp:positionV>
              <wp:extent cx="3565525" cy="481965"/>
              <wp:effectExtent l="0" t="0" r="5080" b="2540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4720" cy="481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b/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FICHA DE MAPEAMENTO DE PROCESSO</w:t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fillcolor="white" stroked="f" style="position:absolute;margin-left:155.6pt;margin-top:-10.2pt;width:280.65pt;height:37.85pt">
              <w10:wrap type="squar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rPr>
                        <w:b/>
                        <w:b/>
                        <w:sz w:val="32"/>
                      </w:rPr>
                    </w:pPr>
                    <w:r>
                      <w:rPr>
                        <w:b/>
                        <w:color w:val="000000"/>
                        <w:sz w:val="32"/>
                      </w:rPr>
                      <w:t>FICHA DE MAPEAMENTO DE PROCESSO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ascii="Century Gothic" w:hAnsi="Century Gothic" w:cs="Times New Roman (Corpo CS)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  <w:color w:val="0000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  <w:color w:val="00000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  <w:color w:val="00000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  <w:color w:val="00000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  <w:color w:val="00000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  <w:color w:val="00000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  <w:color w:val="00000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  <w:color w:val="00000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  <w:color w:val="00000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  <w:color w:val="00000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  <w:color w:val="00000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  <w:color w:val="00000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  <w:color w:val="000000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c3339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33390"/>
    <w:rPr/>
  </w:style>
  <w:style w:type="character" w:styleId="LinkdaInternet">
    <w:name w:val="Link da Internet"/>
    <w:basedOn w:val="DefaultParagraphFont"/>
    <w:uiPriority w:val="99"/>
    <w:unhideWhenUsed/>
    <w:rsid w:val="00b41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41f00"/>
    <w:rPr>
      <w:color w:val="605E5C"/>
      <w:shd w:fill="E1DFDD" w:val="clear"/>
    </w:rPr>
  </w:style>
  <w:style w:type="character" w:styleId="Marcas">
    <w:name w:val="Marcas"/>
    <w:qFormat/>
    <w:rPr>
      <w:rFonts w:ascii="OpenSymbol" w:hAnsi="OpenSymbol" w:eastAsia="OpenSymbol" w:cs="OpenSymbol"/>
      <w:color w:val="00000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e17fd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3339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c3339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e37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jfse.jus.br/arquivos/Edital242014.pdf" TargetMode="External"/><Relationship Id="rId3" Type="http://schemas.openxmlformats.org/officeDocument/2006/relationships/hyperlink" Target="https://www.cjf.jus.br/publico/biblioteca/Res 305-2014.pdf" TargetMode="External"/><Relationship Id="rId4" Type="http://schemas.openxmlformats.org/officeDocument/2006/relationships/hyperlink" Target="http://www.planalto.gov.br/ccivil_03/_ato2019-2022/2019/lei/L13876.htm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LibreOffice/6.3.2.2$Windows_X86_64 LibreOffice_project/98b30e735bda24bc04ab42594c85f7fd8be07b9c</Application>
  <Pages>2</Pages>
  <Words>280</Words>
  <Characters>1695</Characters>
  <CharactersWithSpaces>2155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2022-11-03T19:36:00Z</dcterms:created>
  <dc:creator>gui Monteiro</dc:creator>
  <dc:description/>
  <dc:language>pt-BR</dc:language>
  <cp:lastModifiedBy/>
  <dcterms:modified xsi:type="dcterms:W3CDTF">2022-11-25T16:04:36Z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