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6" w:rsidRPr="006E17FD" w:rsidRDefault="00B77C86" w:rsidP="006E17FD">
      <w:pPr>
        <w:pStyle w:val="ListParagraph"/>
        <w:numPr>
          <w:ilvl w:val="0"/>
          <w:numId w:val="1"/>
        </w:numPr>
        <w:shd w:val="clear" w:color="auto" w:fill="D9D9D9"/>
        <w:ind w:left="426" w:hanging="426"/>
      </w:pPr>
      <w:r w:rsidRPr="006E17FD">
        <w:rPr>
          <w:rFonts w:ascii="Century Gothic" w:hAnsi="Century Gothic" w:cs="Century Gothic"/>
          <w:b/>
          <w:bCs/>
          <w:sz w:val="28"/>
          <w:szCs w:val="28"/>
        </w:rPr>
        <w:t xml:space="preserve">Identificação do Processo    </w:t>
      </w:r>
      <w:r w:rsidRPr="006E17FD">
        <w:t xml:space="preserve">                                                                              </w:t>
      </w:r>
    </w:p>
    <w:p w:rsidR="00B77C86" w:rsidRDefault="00B77C86"/>
    <w:p w:rsidR="00B77C86" w:rsidRPr="004C20A3" w:rsidRDefault="00B77C86">
      <w:pPr>
        <w:rPr>
          <w:i/>
          <w:iCs/>
          <w:sz w:val="22"/>
          <w:szCs w:val="22"/>
        </w:rPr>
      </w:pPr>
      <w:r w:rsidRPr="004C20A3">
        <w:rPr>
          <w:i/>
          <w:iCs/>
          <w:sz w:val="22"/>
          <w:szCs w:val="22"/>
        </w:rPr>
        <w:t>Gerar Folha de Pagamento Normal</w:t>
      </w:r>
    </w:p>
    <w:p w:rsidR="00B77C86" w:rsidRDefault="00B77C86">
      <w:pPr>
        <w:rPr>
          <w:i/>
          <w:iCs/>
          <w:sz w:val="22"/>
          <w:szCs w:val="22"/>
        </w:rPr>
      </w:pPr>
    </w:p>
    <w:p w:rsidR="00B77C86" w:rsidRPr="006E17FD" w:rsidRDefault="00B77C86" w:rsidP="00605E34">
      <w:pPr>
        <w:pStyle w:val="ListParagraph"/>
        <w:numPr>
          <w:ilvl w:val="0"/>
          <w:numId w:val="1"/>
        </w:numPr>
        <w:shd w:val="clear" w:color="auto" w:fill="D9D9D9"/>
        <w:ind w:left="426" w:hanging="426"/>
      </w:pPr>
      <w:r>
        <w:rPr>
          <w:rFonts w:ascii="Century Gothic" w:hAnsi="Century Gothic" w:cs="Century Gothic"/>
          <w:b/>
          <w:bCs/>
          <w:sz w:val="28"/>
          <w:szCs w:val="28"/>
        </w:rPr>
        <w:t>Unidade Organizacional Responsável pelo Processo</w:t>
      </w:r>
    </w:p>
    <w:p w:rsidR="00B77C86" w:rsidRDefault="00B77C86" w:rsidP="00605E34"/>
    <w:p w:rsidR="00B77C86" w:rsidRPr="004C20A3" w:rsidRDefault="00B77C86" w:rsidP="00605E3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Núcleo de Gestão de Pssoas/</w:t>
      </w:r>
      <w:r w:rsidRPr="004C20A3">
        <w:rPr>
          <w:i/>
          <w:iCs/>
          <w:sz w:val="22"/>
          <w:szCs w:val="22"/>
        </w:rPr>
        <w:t>Seção de Folha de Pagamento</w:t>
      </w:r>
    </w:p>
    <w:p w:rsidR="00B77C86" w:rsidRDefault="00B77C86" w:rsidP="00605E34"/>
    <w:p w:rsidR="00B77C86" w:rsidRPr="006E17FD" w:rsidRDefault="00B77C86" w:rsidP="006E17FD">
      <w:pPr>
        <w:pStyle w:val="ListParagraph"/>
        <w:numPr>
          <w:ilvl w:val="0"/>
          <w:numId w:val="1"/>
        </w:numPr>
        <w:shd w:val="clear" w:color="auto" w:fill="D9D9D9"/>
        <w:ind w:left="426" w:hanging="426"/>
      </w:pPr>
      <w:r>
        <w:rPr>
          <w:rFonts w:ascii="Century Gothic" w:hAnsi="Century Gothic" w:cs="Century Gothic"/>
          <w:b/>
          <w:bCs/>
          <w:sz w:val="28"/>
          <w:szCs w:val="28"/>
        </w:rPr>
        <w:t>Objetivo</w:t>
      </w:r>
      <w:r w:rsidRPr="006E17FD">
        <w:rPr>
          <w:rFonts w:ascii="Century Gothic" w:hAnsi="Century Gothic" w:cs="Century Gothic"/>
          <w:b/>
          <w:bCs/>
          <w:sz w:val="28"/>
          <w:szCs w:val="28"/>
        </w:rPr>
        <w:t xml:space="preserve"> do Processo    </w:t>
      </w:r>
      <w:r w:rsidRPr="006E17FD">
        <w:t xml:space="preserve">                                                                              </w:t>
      </w:r>
    </w:p>
    <w:p w:rsidR="00B77C86" w:rsidRDefault="00B77C86" w:rsidP="006E17FD"/>
    <w:p w:rsidR="00B77C86" w:rsidRPr="004C20A3" w:rsidRDefault="00B77C86" w:rsidP="004C20A3">
      <w:pPr>
        <w:jc w:val="both"/>
        <w:rPr>
          <w:i/>
          <w:iCs/>
          <w:sz w:val="22"/>
          <w:szCs w:val="22"/>
        </w:rPr>
      </w:pPr>
      <w:r w:rsidRPr="004C20A3">
        <w:rPr>
          <w:i/>
          <w:iCs/>
          <w:sz w:val="22"/>
          <w:szCs w:val="22"/>
        </w:rPr>
        <w:t>O processo é alimentado com informações cadastrais previamente  inseridas no sistema SARH, incluindo dados pessoais, remuneração básica e adicionais</w:t>
      </w:r>
      <w:r>
        <w:rPr>
          <w:i/>
          <w:iCs/>
          <w:sz w:val="22"/>
          <w:szCs w:val="22"/>
        </w:rPr>
        <w:t xml:space="preserve"> financeiros</w:t>
      </w:r>
      <w:r w:rsidRPr="004C20A3">
        <w:rPr>
          <w:i/>
          <w:iCs/>
          <w:sz w:val="22"/>
          <w:szCs w:val="22"/>
        </w:rPr>
        <w:t>. Após a importação desses dados, são realizados os lançamentos eventuais, adicionais concedidos no último mês e ainda não cadastrados e as correções que se fizerem necessárias, resultando na folha de pagamento normal do mês.</w:t>
      </w:r>
    </w:p>
    <w:p w:rsidR="00B77C86" w:rsidRDefault="00B77C86">
      <w:pPr>
        <w:rPr>
          <w:i/>
          <w:iCs/>
          <w:sz w:val="22"/>
          <w:szCs w:val="22"/>
        </w:rPr>
      </w:pPr>
    </w:p>
    <w:p w:rsidR="00B77C86" w:rsidRPr="006E17FD" w:rsidRDefault="00B77C86" w:rsidP="00605E34">
      <w:pPr>
        <w:pStyle w:val="ListParagraph"/>
        <w:numPr>
          <w:ilvl w:val="0"/>
          <w:numId w:val="1"/>
        </w:numPr>
        <w:shd w:val="clear" w:color="auto" w:fill="D9D9D9"/>
        <w:ind w:left="426" w:hanging="426"/>
      </w:pPr>
      <w:r>
        <w:rPr>
          <w:rFonts w:ascii="Century Gothic" w:hAnsi="Century Gothic" w:cs="Century Gothic"/>
          <w:b/>
          <w:bCs/>
          <w:sz w:val="28"/>
          <w:szCs w:val="28"/>
        </w:rPr>
        <w:t>Fornecedores de Insumos</w:t>
      </w:r>
    </w:p>
    <w:p w:rsidR="00B77C86" w:rsidRDefault="00B77C86" w:rsidP="00605E34"/>
    <w:p w:rsidR="00B77C86" w:rsidRPr="004C20A3" w:rsidRDefault="00B77C86" w:rsidP="004C20A3">
      <w:pPr>
        <w:jc w:val="both"/>
        <w:rPr>
          <w:i/>
          <w:iCs/>
          <w:sz w:val="22"/>
          <w:szCs w:val="22"/>
        </w:rPr>
      </w:pPr>
      <w:r w:rsidRPr="004C20A3">
        <w:rPr>
          <w:i/>
          <w:iCs/>
          <w:sz w:val="22"/>
          <w:szCs w:val="22"/>
        </w:rPr>
        <w:t>As informações são fornecidas pela Direção do Núcleo de Gestão de Pessoas;  Setores de Cadastro, Benefícios, Saúde, Legislação de Pessoal  e Treinamento; Direção da Secretaria Administrativa e, eventualmente, Tribunal Regional Federal da 5ª Região.</w:t>
      </w:r>
    </w:p>
    <w:p w:rsidR="00B77C86" w:rsidRDefault="00B77C86">
      <w:pPr>
        <w:rPr>
          <w:i/>
          <w:iCs/>
          <w:sz w:val="22"/>
          <w:szCs w:val="22"/>
        </w:rPr>
      </w:pPr>
    </w:p>
    <w:p w:rsidR="00B77C86" w:rsidRDefault="00B77C86" w:rsidP="00D46D17">
      <w:pPr>
        <w:pStyle w:val="ListParagraph"/>
        <w:numPr>
          <w:ilvl w:val="0"/>
          <w:numId w:val="1"/>
        </w:numPr>
        <w:shd w:val="clear" w:color="auto" w:fill="D9D9D9"/>
        <w:ind w:left="426" w:hanging="426"/>
      </w:pPr>
      <w:r w:rsidRPr="00630E72">
        <w:rPr>
          <w:rFonts w:ascii="Century Gothic" w:hAnsi="Century Gothic" w:cs="Century Gothic"/>
          <w:b/>
          <w:bCs/>
          <w:sz w:val="28"/>
          <w:szCs w:val="28"/>
        </w:rPr>
        <w:t xml:space="preserve">Consumidores das Saídas </w:t>
      </w:r>
    </w:p>
    <w:p w:rsidR="00B77C86" w:rsidRDefault="00B77C86" w:rsidP="00D46D17">
      <w:pPr>
        <w:rPr>
          <w:i/>
          <w:iCs/>
          <w:color w:val="2F5496"/>
          <w:sz w:val="22"/>
          <w:szCs w:val="22"/>
        </w:rPr>
      </w:pPr>
    </w:p>
    <w:p w:rsidR="00B77C86" w:rsidRPr="004C20A3" w:rsidRDefault="00B77C86" w:rsidP="004C20A3">
      <w:pPr>
        <w:jc w:val="both"/>
        <w:rPr>
          <w:i/>
          <w:iCs/>
          <w:sz w:val="22"/>
          <w:szCs w:val="22"/>
        </w:rPr>
      </w:pPr>
      <w:r w:rsidRPr="004C20A3">
        <w:rPr>
          <w:i/>
          <w:iCs/>
          <w:sz w:val="22"/>
          <w:szCs w:val="22"/>
        </w:rPr>
        <w:t>As saídas destinam-se ao Setores de Cadastro, Saúde, Treinamento, Benefícios, Direção do Núcleo de Gestão de Pessoas, Direção da Secretaria Administrativa, Direção do Foro, Seção de Orçamento e Finanças, Seção de Auditoria Interna, Banco do Brasil, Caixa Econômica Federal</w:t>
      </w:r>
      <w:r>
        <w:rPr>
          <w:i/>
          <w:iCs/>
          <w:sz w:val="22"/>
          <w:szCs w:val="22"/>
        </w:rPr>
        <w:t>, órgãos públicos</w:t>
      </w:r>
      <w:r w:rsidRPr="004C20A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que cederam servidores para a JFSE </w:t>
      </w:r>
      <w:r w:rsidRPr="004C20A3">
        <w:rPr>
          <w:i/>
          <w:iCs/>
          <w:sz w:val="22"/>
          <w:szCs w:val="22"/>
        </w:rPr>
        <w:t>e demais instituições que possuem contratos de consignação em folha junto à Justiça Federal de Sergipe.</w:t>
      </w:r>
    </w:p>
    <w:p w:rsidR="00B77C86" w:rsidRDefault="00B77C86" w:rsidP="00D46D17">
      <w:pPr>
        <w:rPr>
          <w:i/>
          <w:iCs/>
          <w:sz w:val="22"/>
          <w:szCs w:val="22"/>
        </w:rPr>
      </w:pPr>
    </w:p>
    <w:p w:rsidR="00B77C86" w:rsidRDefault="00B77C86" w:rsidP="007E3758">
      <w:pPr>
        <w:pStyle w:val="ListParagraph"/>
        <w:numPr>
          <w:ilvl w:val="0"/>
          <w:numId w:val="1"/>
        </w:numPr>
        <w:shd w:val="clear" w:color="auto" w:fill="D9D9D9"/>
        <w:ind w:left="426" w:hanging="426"/>
      </w:pPr>
      <w:r>
        <w:rPr>
          <w:rFonts w:ascii="Century Gothic" w:hAnsi="Century Gothic" w:cs="Century Gothic"/>
          <w:b/>
          <w:bCs/>
          <w:sz w:val="28"/>
          <w:szCs w:val="28"/>
        </w:rPr>
        <w:t>Procedimentos Relacionados</w:t>
      </w:r>
    </w:p>
    <w:p w:rsidR="00B77C86" w:rsidRDefault="00B77C86" w:rsidP="007E3758">
      <w:pPr>
        <w:rPr>
          <w:i/>
          <w:iCs/>
          <w:color w:val="2F5496"/>
          <w:sz w:val="22"/>
          <w:szCs w:val="22"/>
        </w:rPr>
      </w:pPr>
    </w:p>
    <w:p w:rsidR="00B77C86" w:rsidRPr="004C20A3" w:rsidRDefault="00B77C86" w:rsidP="004C20A3">
      <w:pPr>
        <w:jc w:val="both"/>
        <w:rPr>
          <w:i/>
          <w:iCs/>
          <w:sz w:val="22"/>
          <w:szCs w:val="22"/>
        </w:rPr>
      </w:pPr>
      <w:r w:rsidRPr="004C20A3">
        <w:rPr>
          <w:i/>
          <w:iCs/>
          <w:sz w:val="22"/>
          <w:szCs w:val="22"/>
        </w:rPr>
        <w:t>Processos de progressão funcional de servidor, licenças legais, substituições de servidor, nomeação de servidor, capacitação e treinamento, ajudas de custo, indenização e auxílio transporte, exoneração/vacância/remoção, reembolso de servidores requisitados.</w:t>
      </w:r>
    </w:p>
    <w:p w:rsidR="00B77C86" w:rsidRDefault="00B77C86">
      <w:pPr>
        <w:rPr>
          <w:sz w:val="22"/>
          <w:szCs w:val="22"/>
        </w:rPr>
      </w:pPr>
    </w:p>
    <w:p w:rsidR="00B77C86" w:rsidRPr="006E17FD" w:rsidRDefault="00B77C86" w:rsidP="006E17FD">
      <w:pPr>
        <w:pStyle w:val="ListParagraph"/>
        <w:numPr>
          <w:ilvl w:val="0"/>
          <w:numId w:val="1"/>
        </w:numPr>
        <w:shd w:val="clear" w:color="auto" w:fill="D9D9D9"/>
        <w:ind w:left="426" w:hanging="426"/>
      </w:pPr>
      <w:r>
        <w:rPr>
          <w:rFonts w:ascii="Century Gothic" w:hAnsi="Century Gothic" w:cs="Century Gothic"/>
          <w:b/>
          <w:bCs/>
          <w:sz w:val="28"/>
          <w:szCs w:val="28"/>
        </w:rPr>
        <w:t>Periodicidade de Execução</w:t>
      </w:r>
    </w:p>
    <w:p w:rsidR="00B77C86" w:rsidRDefault="00B77C86" w:rsidP="006E17FD"/>
    <w:p w:rsidR="00B77C86" w:rsidRPr="004C20A3" w:rsidRDefault="00B77C86" w:rsidP="006E17FD">
      <w:pPr>
        <w:rPr>
          <w:i/>
          <w:iCs/>
          <w:sz w:val="22"/>
          <w:szCs w:val="22"/>
        </w:rPr>
      </w:pPr>
      <w:r w:rsidRPr="004C20A3">
        <w:rPr>
          <w:i/>
          <w:iCs/>
          <w:sz w:val="22"/>
          <w:szCs w:val="22"/>
        </w:rPr>
        <w:t>( ) Anual.     (X  ) Mensal.     (  ) Semanal.     (  ) Diário.    (   ) Sob demanda.  ( )Outros: ________</w:t>
      </w:r>
    </w:p>
    <w:p w:rsidR="00B77C86" w:rsidRDefault="00B77C86">
      <w:pPr>
        <w:rPr>
          <w:sz w:val="22"/>
          <w:szCs w:val="22"/>
        </w:rPr>
      </w:pPr>
    </w:p>
    <w:p w:rsidR="00B77C86" w:rsidRPr="006E17FD" w:rsidRDefault="00B77C86" w:rsidP="00630E72">
      <w:pPr>
        <w:pStyle w:val="ListParagraph"/>
        <w:numPr>
          <w:ilvl w:val="0"/>
          <w:numId w:val="1"/>
        </w:numPr>
        <w:shd w:val="clear" w:color="auto" w:fill="D9D9D9"/>
        <w:ind w:left="426" w:hanging="426"/>
      </w:pPr>
      <w:r>
        <w:rPr>
          <w:rFonts w:ascii="Century Gothic" w:hAnsi="Century Gothic" w:cs="Century Gothic"/>
          <w:b/>
          <w:bCs/>
          <w:sz w:val="28"/>
          <w:szCs w:val="28"/>
        </w:rPr>
        <w:t>Regulamentação do</w:t>
      </w:r>
      <w:r w:rsidRPr="006E17FD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sz w:val="28"/>
          <w:szCs w:val="28"/>
        </w:rPr>
        <w:t>P</w:t>
      </w:r>
      <w:r w:rsidRPr="006E17FD">
        <w:rPr>
          <w:rFonts w:ascii="Century Gothic" w:hAnsi="Century Gothic" w:cs="Century Gothic"/>
          <w:b/>
          <w:bCs/>
          <w:sz w:val="28"/>
          <w:szCs w:val="28"/>
        </w:rPr>
        <w:t xml:space="preserve">rocesso    </w:t>
      </w:r>
      <w:r w:rsidRPr="006E17FD">
        <w:t xml:space="preserve">                                                                              </w:t>
      </w:r>
    </w:p>
    <w:p w:rsidR="00B77C86" w:rsidRDefault="00B77C86" w:rsidP="00630E72"/>
    <w:p w:rsidR="00B77C86" w:rsidRPr="004C20A3" w:rsidRDefault="00B77C86">
      <w:pPr>
        <w:rPr>
          <w:i/>
          <w:iCs/>
          <w:sz w:val="22"/>
          <w:szCs w:val="22"/>
        </w:rPr>
      </w:pPr>
      <w:r w:rsidRPr="004C20A3">
        <w:rPr>
          <w:i/>
          <w:iCs/>
          <w:sz w:val="22"/>
          <w:szCs w:val="22"/>
        </w:rPr>
        <w:t xml:space="preserve">1. Lei nº. 8.112/1990 -  www.planalto.gov.br/ccivil_03/leis/I8112cons.htm </w:t>
      </w:r>
    </w:p>
    <w:p w:rsidR="00B77C86" w:rsidRPr="004C20A3" w:rsidRDefault="00B77C86">
      <w:pPr>
        <w:rPr>
          <w:i/>
          <w:iCs/>
          <w:sz w:val="22"/>
          <w:szCs w:val="22"/>
        </w:rPr>
      </w:pPr>
      <w:r w:rsidRPr="004C20A3">
        <w:rPr>
          <w:i/>
          <w:iCs/>
          <w:sz w:val="22"/>
          <w:szCs w:val="22"/>
        </w:rPr>
        <w:t>2. Ato nº. 83/2021 - TRF5 - site do Tribunal Regional Federal da 5ª Região</w:t>
      </w:r>
    </w:p>
    <w:p w:rsidR="00B77C86" w:rsidRPr="004C20A3" w:rsidRDefault="00B77C86">
      <w:pPr>
        <w:rPr>
          <w:i/>
          <w:iCs/>
          <w:sz w:val="22"/>
          <w:szCs w:val="22"/>
        </w:rPr>
      </w:pPr>
      <w:r w:rsidRPr="004C20A3">
        <w:rPr>
          <w:i/>
          <w:iCs/>
          <w:sz w:val="22"/>
          <w:szCs w:val="22"/>
        </w:rPr>
        <w:t>3. Portaria Conjunta nº. 358/2019 - DOU de 05/09/2019, Seção 1, Pg. 37</w:t>
      </w:r>
    </w:p>
    <w:p w:rsidR="00B77C86" w:rsidRPr="004C20A3" w:rsidRDefault="00B77C86">
      <w:pPr>
        <w:rPr>
          <w:i/>
          <w:iCs/>
          <w:sz w:val="22"/>
          <w:szCs w:val="22"/>
        </w:rPr>
      </w:pPr>
      <w:r w:rsidRPr="004C20A3">
        <w:rPr>
          <w:i/>
          <w:iCs/>
          <w:sz w:val="22"/>
          <w:szCs w:val="22"/>
        </w:rPr>
        <w:t>4. Resolução CJF nº. 700/2021 - DOU de 19/04/2021, Seção 1, pg. 285</w:t>
      </w:r>
    </w:p>
    <w:p w:rsidR="00B77C86" w:rsidRPr="004C20A3" w:rsidRDefault="00B77C86">
      <w:pPr>
        <w:rPr>
          <w:i/>
          <w:iCs/>
          <w:sz w:val="22"/>
          <w:szCs w:val="22"/>
        </w:rPr>
      </w:pPr>
      <w:r w:rsidRPr="004C20A3">
        <w:rPr>
          <w:i/>
          <w:iCs/>
          <w:sz w:val="22"/>
          <w:szCs w:val="22"/>
        </w:rPr>
        <w:t>5. Resolução CJF nº. 4/2008 - Sítio do Conselho da Justiça Federal</w:t>
      </w:r>
    </w:p>
    <w:p w:rsidR="00B77C86" w:rsidRPr="004C20A3" w:rsidRDefault="00B77C86">
      <w:pPr>
        <w:rPr>
          <w:i/>
          <w:iCs/>
          <w:sz w:val="22"/>
          <w:szCs w:val="22"/>
        </w:rPr>
      </w:pPr>
      <w:r w:rsidRPr="004C20A3">
        <w:rPr>
          <w:i/>
          <w:iCs/>
          <w:sz w:val="22"/>
          <w:szCs w:val="22"/>
        </w:rPr>
        <w:t>6. Resolução CJF nº. 126/2010 - Sítio do Conselho da Justiça Federal</w:t>
      </w:r>
    </w:p>
    <w:p w:rsidR="00B77C86" w:rsidRPr="004C20A3" w:rsidRDefault="00B77C86">
      <w:pPr>
        <w:rPr>
          <w:i/>
          <w:iCs/>
          <w:sz w:val="22"/>
          <w:szCs w:val="22"/>
        </w:rPr>
      </w:pPr>
      <w:r w:rsidRPr="004C20A3">
        <w:rPr>
          <w:i/>
          <w:iCs/>
          <w:sz w:val="22"/>
          <w:szCs w:val="22"/>
        </w:rPr>
        <w:t>7. Resolução CJF nº. 221/2012 - Sítio do Conselho da Justiça Federal</w:t>
      </w:r>
    </w:p>
    <w:p w:rsidR="00B77C86" w:rsidRPr="004C20A3" w:rsidRDefault="00B77C86">
      <w:pPr>
        <w:rPr>
          <w:i/>
          <w:iCs/>
          <w:sz w:val="22"/>
          <w:szCs w:val="22"/>
        </w:rPr>
      </w:pPr>
      <w:r w:rsidRPr="004C20A3">
        <w:rPr>
          <w:i/>
          <w:iCs/>
          <w:sz w:val="22"/>
          <w:szCs w:val="22"/>
        </w:rPr>
        <w:t>8. Resolução CJF nº. 663/2020 - Sítio do Conselho da Justiça Federal</w:t>
      </w:r>
    </w:p>
    <w:p w:rsidR="00B77C86" w:rsidRPr="004C20A3" w:rsidRDefault="00B77C86">
      <w:pPr>
        <w:rPr>
          <w:i/>
          <w:iCs/>
          <w:sz w:val="22"/>
          <w:szCs w:val="22"/>
        </w:rPr>
      </w:pPr>
      <w:r w:rsidRPr="004C20A3">
        <w:rPr>
          <w:i/>
          <w:iCs/>
          <w:sz w:val="22"/>
          <w:szCs w:val="22"/>
        </w:rPr>
        <w:t>9. Instrução Normativa RFB nº. 2097/2022 - DOU de 22/07/2022, Seção 1, pg. 52</w:t>
      </w:r>
    </w:p>
    <w:p w:rsidR="00B77C86" w:rsidRPr="00630E72" w:rsidRDefault="00B77C86">
      <w:pPr>
        <w:rPr>
          <w:i/>
          <w:iCs/>
          <w:color w:val="2F5496"/>
          <w:sz w:val="22"/>
          <w:szCs w:val="22"/>
        </w:rPr>
      </w:pPr>
    </w:p>
    <w:p w:rsidR="00B77C86" w:rsidRDefault="00B77C86">
      <w:pPr>
        <w:rPr>
          <w:sz w:val="22"/>
          <w:szCs w:val="22"/>
        </w:rPr>
      </w:pPr>
    </w:p>
    <w:p w:rsidR="00B77C86" w:rsidRPr="006E17FD" w:rsidRDefault="00B77C86" w:rsidP="007D6F0F">
      <w:pPr>
        <w:pStyle w:val="ListParagraph"/>
        <w:numPr>
          <w:ilvl w:val="0"/>
          <w:numId w:val="1"/>
        </w:numPr>
        <w:shd w:val="clear" w:color="auto" w:fill="D9D9D9"/>
        <w:ind w:left="426" w:hanging="426"/>
      </w:pPr>
      <w:r>
        <w:rPr>
          <w:rFonts w:ascii="Century Gothic" w:hAnsi="Century Gothic" w:cs="Century Gothic"/>
          <w:b/>
          <w:bCs/>
          <w:sz w:val="28"/>
          <w:szCs w:val="28"/>
        </w:rPr>
        <w:t>Recursos Tecnológicos</w:t>
      </w:r>
    </w:p>
    <w:p w:rsidR="00B77C86" w:rsidRDefault="00B77C86" w:rsidP="007D6F0F"/>
    <w:p w:rsidR="00B77C86" w:rsidRDefault="00B77C86" w:rsidP="007D6F0F">
      <w:pPr>
        <w:rPr>
          <w:i/>
          <w:iCs/>
          <w:sz w:val="22"/>
          <w:szCs w:val="22"/>
        </w:rPr>
      </w:pPr>
      <w:r w:rsidRPr="004C20A3">
        <w:rPr>
          <w:i/>
          <w:iCs/>
          <w:sz w:val="22"/>
          <w:szCs w:val="22"/>
        </w:rPr>
        <w:t>O processo de pagamento é integramente elaborado no sistema SARH, utilizando-se, além deste, do Sistema de Controle de Processos Administrativos da JFSE - SEI/JFSE, e sistemas do Banco do Brasil e Caixa econômica Federal.</w:t>
      </w:r>
    </w:p>
    <w:p w:rsidR="00B77C86" w:rsidRDefault="00B77C86" w:rsidP="007D6F0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 envio de arquivos para os bancos se dá através de sistema específico de cada instituição.</w:t>
      </w:r>
    </w:p>
    <w:p w:rsidR="00B77C86" w:rsidRPr="004C20A3" w:rsidRDefault="00B77C86" w:rsidP="007D6F0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Utiliza-se o armazenamento de arquivos em nuvem e os sistemas de comunicação interna (teams, e-mail funcional, zoom).</w:t>
      </w:r>
    </w:p>
    <w:p w:rsidR="00B77C86" w:rsidRDefault="00B77C86" w:rsidP="007D6F0F">
      <w:pPr>
        <w:rPr>
          <w:i/>
          <w:iCs/>
          <w:color w:val="2F5496"/>
          <w:sz w:val="22"/>
          <w:szCs w:val="22"/>
        </w:rPr>
      </w:pPr>
    </w:p>
    <w:p w:rsidR="00B77C86" w:rsidRPr="006E17FD" w:rsidRDefault="00B77C86" w:rsidP="004719C7">
      <w:pPr>
        <w:pStyle w:val="ListParagraph"/>
        <w:numPr>
          <w:ilvl w:val="0"/>
          <w:numId w:val="1"/>
        </w:numPr>
        <w:shd w:val="clear" w:color="auto" w:fill="D9D9D9"/>
        <w:ind w:left="426" w:hanging="426"/>
      </w:pPr>
      <w:r>
        <w:rPr>
          <w:rFonts w:ascii="Century Gothic" w:hAnsi="Century Gothic" w:cs="Century Gothic"/>
          <w:b/>
          <w:bCs/>
          <w:sz w:val="28"/>
          <w:szCs w:val="28"/>
        </w:rPr>
        <w:t>Recursos Humanos - Competências e Conhecimentos</w:t>
      </w:r>
    </w:p>
    <w:p w:rsidR="00B77C86" w:rsidRDefault="00B77C86" w:rsidP="004719C7">
      <w:r>
        <w:t>Seções de Legislação de Pessoal, Cadastro, Treinamento, Benefícios e Saúde: conhecimentos específicos de cada unidade e conhecimentos gerais sobre direitos e deveres dos servidores e magistrados.</w:t>
      </w:r>
    </w:p>
    <w:p w:rsidR="00B77C86" w:rsidRDefault="00B77C86" w:rsidP="004719C7">
      <w:r>
        <w:t>Seção de Orçamento e Finanças: conhecimentos específicos de SIAFI, e conhecimentos básicos de legislação tributária, especialmente sobre o e-social e EFD-REINF.</w:t>
      </w:r>
    </w:p>
    <w:p w:rsidR="00B77C86" w:rsidRDefault="00B77C86" w:rsidP="004719C7">
      <w:r>
        <w:t>Seção de Folha de Pagamento: conhecimentos gerais sobre folha de pagamento, cálculos trabalhistas, legislação trabalhista do servidor público federal, planilhas de cálculo, e-social.</w:t>
      </w:r>
    </w:p>
    <w:p w:rsidR="00B77C86" w:rsidRDefault="00B77C86" w:rsidP="00701B2F">
      <w:pPr>
        <w:rPr>
          <w:i/>
          <w:iCs/>
          <w:color w:val="2F5496"/>
          <w:sz w:val="22"/>
          <w:szCs w:val="22"/>
        </w:rPr>
      </w:pPr>
    </w:p>
    <w:p w:rsidR="00B77C86" w:rsidRPr="004122EB" w:rsidRDefault="00B77C86" w:rsidP="007D6F0F">
      <w:pPr>
        <w:rPr>
          <w:i/>
          <w:iCs/>
          <w:color w:val="2F5496"/>
          <w:sz w:val="22"/>
          <w:szCs w:val="22"/>
        </w:rPr>
      </w:pPr>
    </w:p>
    <w:p w:rsidR="00B77C86" w:rsidRPr="006E17FD" w:rsidRDefault="00B77C86" w:rsidP="007D6F0F">
      <w:pPr>
        <w:pStyle w:val="ListParagraph"/>
        <w:numPr>
          <w:ilvl w:val="0"/>
          <w:numId w:val="1"/>
        </w:numPr>
        <w:shd w:val="clear" w:color="auto" w:fill="D9D9D9"/>
        <w:ind w:left="426" w:hanging="426"/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 Mensuração de Desempenho</w:t>
      </w:r>
    </w:p>
    <w:p w:rsidR="00B77C86" w:rsidRDefault="00B77C86" w:rsidP="007D6F0F"/>
    <w:p w:rsidR="00B77C86" w:rsidRPr="004C20A3" w:rsidRDefault="00B77C86" w:rsidP="007D6F0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Atualmente, apenas o cumprimento dos prazos.</w:t>
      </w:r>
    </w:p>
    <w:p w:rsidR="00B77C86" w:rsidRPr="004122EB" w:rsidRDefault="00B77C86" w:rsidP="006E17FD">
      <w:pPr>
        <w:rPr>
          <w:i/>
          <w:iCs/>
          <w:color w:val="2F5496"/>
          <w:sz w:val="22"/>
          <w:szCs w:val="22"/>
        </w:rPr>
      </w:pPr>
    </w:p>
    <w:p w:rsidR="00B77C86" w:rsidRPr="006E17FD" w:rsidRDefault="00B77C86" w:rsidP="00630E72">
      <w:pPr>
        <w:rPr>
          <w:sz w:val="22"/>
          <w:szCs w:val="22"/>
        </w:rPr>
      </w:pPr>
    </w:p>
    <w:p w:rsidR="00B77C86" w:rsidRDefault="00B77C86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366"/>
      </w:tblGrid>
      <w:tr w:rsidR="00B77C86" w:rsidRPr="009F0B9D">
        <w:trPr>
          <w:trHeight w:val="340"/>
        </w:trPr>
        <w:tc>
          <w:tcPr>
            <w:tcW w:w="2122" w:type="dxa"/>
          </w:tcPr>
          <w:p w:rsidR="00B77C86" w:rsidRPr="009F0B9D" w:rsidRDefault="00B77C86">
            <w:pPr>
              <w:rPr>
                <w:b/>
                <w:bCs/>
              </w:rPr>
            </w:pPr>
            <w:r w:rsidRPr="009F0B9D">
              <w:rPr>
                <w:b/>
                <w:bCs/>
                <w:sz w:val="22"/>
                <w:szCs w:val="22"/>
              </w:rPr>
              <w:t>Ficha elaborada por</w:t>
            </w:r>
          </w:p>
        </w:tc>
        <w:tc>
          <w:tcPr>
            <w:tcW w:w="6366" w:type="dxa"/>
          </w:tcPr>
          <w:p w:rsidR="00B77C86" w:rsidRPr="009F0B9D" w:rsidRDefault="00B77C86">
            <w:r>
              <w:rPr>
                <w:sz w:val="22"/>
                <w:szCs w:val="22"/>
              </w:rPr>
              <w:t>Edmilson Farias Santos</w:t>
            </w:r>
          </w:p>
        </w:tc>
      </w:tr>
      <w:tr w:rsidR="00B77C86" w:rsidRPr="009F0B9D">
        <w:trPr>
          <w:trHeight w:val="340"/>
        </w:trPr>
        <w:tc>
          <w:tcPr>
            <w:tcW w:w="2122" w:type="dxa"/>
          </w:tcPr>
          <w:p w:rsidR="00B77C86" w:rsidRPr="009F0B9D" w:rsidRDefault="00B77C86">
            <w:pPr>
              <w:rPr>
                <w:b/>
                <w:bCs/>
              </w:rPr>
            </w:pPr>
            <w:r w:rsidRPr="009F0B9D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366" w:type="dxa"/>
          </w:tcPr>
          <w:p w:rsidR="00B77C86" w:rsidRPr="009F0B9D" w:rsidRDefault="00B77C86">
            <w:r>
              <w:rPr>
                <w:sz w:val="22"/>
                <w:szCs w:val="22"/>
              </w:rPr>
              <w:t>25.11.2022</w:t>
            </w:r>
          </w:p>
        </w:tc>
      </w:tr>
      <w:tr w:rsidR="00B77C86" w:rsidRPr="009F0B9D">
        <w:trPr>
          <w:trHeight w:val="340"/>
        </w:trPr>
        <w:tc>
          <w:tcPr>
            <w:tcW w:w="2122" w:type="dxa"/>
          </w:tcPr>
          <w:p w:rsidR="00B77C86" w:rsidRPr="009F0B9D" w:rsidRDefault="00B77C86">
            <w:pPr>
              <w:rPr>
                <w:b/>
                <w:bCs/>
              </w:rPr>
            </w:pPr>
            <w:r w:rsidRPr="009F0B9D">
              <w:rPr>
                <w:b/>
                <w:bCs/>
                <w:sz w:val="22"/>
                <w:szCs w:val="22"/>
              </w:rPr>
              <w:t>Versão</w:t>
            </w:r>
          </w:p>
        </w:tc>
        <w:tc>
          <w:tcPr>
            <w:tcW w:w="6366" w:type="dxa"/>
          </w:tcPr>
          <w:p w:rsidR="00B77C86" w:rsidRPr="009F0B9D" w:rsidRDefault="00B77C86">
            <w:r>
              <w:rPr>
                <w:sz w:val="22"/>
                <w:szCs w:val="22"/>
              </w:rPr>
              <w:t>1.0</w:t>
            </w:r>
          </w:p>
        </w:tc>
      </w:tr>
    </w:tbl>
    <w:p w:rsidR="00B77C86" w:rsidRPr="006E17FD" w:rsidRDefault="00B77C86">
      <w:pPr>
        <w:rPr>
          <w:sz w:val="22"/>
          <w:szCs w:val="22"/>
        </w:rPr>
      </w:pPr>
    </w:p>
    <w:sectPr w:rsidR="00B77C86" w:rsidRPr="006E17FD" w:rsidSect="00A96A0A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86" w:rsidRDefault="00B77C86" w:rsidP="00C33390">
      <w:r>
        <w:separator/>
      </w:r>
    </w:p>
  </w:endnote>
  <w:endnote w:type="continuationSeparator" w:id="0">
    <w:p w:rsidR="00B77C86" w:rsidRDefault="00B77C86" w:rsidP="00C33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86" w:rsidRDefault="00B77C86" w:rsidP="00C33390">
      <w:r>
        <w:separator/>
      </w:r>
    </w:p>
  </w:footnote>
  <w:footnote w:type="continuationSeparator" w:id="0">
    <w:p w:rsidR="00B77C86" w:rsidRDefault="00B77C86" w:rsidP="00C33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86" w:rsidRDefault="00B77C86">
    <w:pPr>
      <w:pStyle w:val="Head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55.6pt;margin-top:-10.15pt;width:280.65pt;height:37.85pt;z-index:251660288;visibility:visible;v-text-anchor:middle" stroked="f" strokeweight=".5pt">
          <v:textbox>
            <w:txbxContent>
              <w:p w:rsidR="00B77C86" w:rsidRPr="00D46D17" w:rsidRDefault="00B77C86">
                <w:pPr>
                  <w:rPr>
                    <w:b/>
                    <w:bCs/>
                    <w:sz w:val="32"/>
                    <w:szCs w:val="32"/>
                  </w:rPr>
                </w:pPr>
                <w:r w:rsidRPr="00D46D17">
                  <w:rPr>
                    <w:b/>
                    <w:bCs/>
                    <w:sz w:val="32"/>
                    <w:szCs w:val="32"/>
                  </w:rPr>
                  <w:t>FICHA DE MAPEAMENTO DE PROCESSO</w:t>
                </w:r>
              </w:p>
            </w:txbxContent>
          </v:textbox>
        </v:shape>
      </w:pict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6" type="#_x0000_t75" style="width:73.5pt;height:27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C066C"/>
    <w:multiLevelType w:val="hybridMultilevel"/>
    <w:tmpl w:val="5840024C"/>
    <w:lvl w:ilvl="0" w:tplc="F4FC272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DE8"/>
    <w:rsid w:val="00030F0C"/>
    <w:rsid w:val="00075B66"/>
    <w:rsid w:val="00114791"/>
    <w:rsid w:val="00146FC2"/>
    <w:rsid w:val="001812CE"/>
    <w:rsid w:val="001A55AC"/>
    <w:rsid w:val="00251FD2"/>
    <w:rsid w:val="003E7DE8"/>
    <w:rsid w:val="004122EB"/>
    <w:rsid w:val="004719C7"/>
    <w:rsid w:val="004909F1"/>
    <w:rsid w:val="004C20A3"/>
    <w:rsid w:val="004D3BB3"/>
    <w:rsid w:val="00556905"/>
    <w:rsid w:val="005E2EA2"/>
    <w:rsid w:val="00605E34"/>
    <w:rsid w:val="00616AFA"/>
    <w:rsid w:val="00630E72"/>
    <w:rsid w:val="00671A71"/>
    <w:rsid w:val="006C0862"/>
    <w:rsid w:val="006E17FD"/>
    <w:rsid w:val="00701B2F"/>
    <w:rsid w:val="007D6F0F"/>
    <w:rsid w:val="007E333A"/>
    <w:rsid w:val="007E3758"/>
    <w:rsid w:val="00826C9B"/>
    <w:rsid w:val="0088738C"/>
    <w:rsid w:val="00896F2F"/>
    <w:rsid w:val="009F0B9D"/>
    <w:rsid w:val="00A70F11"/>
    <w:rsid w:val="00A96A0A"/>
    <w:rsid w:val="00B75DE4"/>
    <w:rsid w:val="00B77C86"/>
    <w:rsid w:val="00BA5EEB"/>
    <w:rsid w:val="00BB4D9E"/>
    <w:rsid w:val="00C126BB"/>
    <w:rsid w:val="00C33390"/>
    <w:rsid w:val="00C52793"/>
    <w:rsid w:val="00C74EC5"/>
    <w:rsid w:val="00C7579F"/>
    <w:rsid w:val="00D13DF6"/>
    <w:rsid w:val="00D46D17"/>
    <w:rsid w:val="00E817AC"/>
    <w:rsid w:val="00E874D4"/>
    <w:rsid w:val="00F4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CE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17FD"/>
    <w:pPr>
      <w:ind w:left="720"/>
    </w:pPr>
  </w:style>
  <w:style w:type="paragraph" w:styleId="Header">
    <w:name w:val="header"/>
    <w:basedOn w:val="Normal"/>
    <w:link w:val="HeaderChar"/>
    <w:uiPriority w:val="99"/>
    <w:rsid w:val="00C3339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3390"/>
  </w:style>
  <w:style w:type="paragraph" w:styleId="Footer">
    <w:name w:val="footer"/>
    <w:basedOn w:val="Normal"/>
    <w:link w:val="FooterChar"/>
    <w:uiPriority w:val="99"/>
    <w:rsid w:val="00C333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3390"/>
  </w:style>
  <w:style w:type="table" w:styleId="TableGrid">
    <w:name w:val="Table Grid"/>
    <w:basedOn w:val="TableNormal"/>
    <w:uiPriority w:val="99"/>
    <w:rsid w:val="007E37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600</Words>
  <Characters>3240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gui Monteiro</dc:creator>
  <cp:keywords/>
  <dc:description/>
  <cp:lastModifiedBy>sandra.cristina</cp:lastModifiedBy>
  <cp:revision>2</cp:revision>
  <dcterms:created xsi:type="dcterms:W3CDTF">2022-12-15T10:13:00Z</dcterms:created>
  <dcterms:modified xsi:type="dcterms:W3CDTF">2022-12-15T10:13:00Z</dcterms:modified>
</cp:coreProperties>
</file>