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530" w:val="left" w:leader="none"/>
          <w:tab w:pos="8604" w:val="left" w:leader="none"/>
        </w:tabs>
        <w:spacing w:line="240" w:lineRule="auto" w:before="91" w:after="0"/>
        <w:ind w:left="530" w:right="0" w:hanging="426"/>
        <w:jc w:val="left"/>
      </w:pPr>
      <w:r>
        <w:rPr>
          <w:color w:val="000000"/>
          <w:spacing w:val="-2"/>
          <w:shd w:fill="D8D8D8" w:color="auto" w:val="clear"/>
        </w:rPr>
        <w:t>Identificação</w:t>
      </w:r>
      <w:r>
        <w:rPr>
          <w:color w:val="000000"/>
          <w:spacing w:val="-13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do</w:t>
      </w:r>
      <w:r>
        <w:rPr>
          <w:color w:val="000000"/>
          <w:spacing w:val="-12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Processo</w:t>
      </w:r>
      <w:r>
        <w:rPr>
          <w:color w:val="000000"/>
          <w:shd w:fill="D8D8D8" w:color="auto" w:val="clear"/>
        </w:rPr>
        <w:tab/>
      </w:r>
    </w:p>
    <w:p>
      <w:pPr>
        <w:pStyle w:val="BodyText"/>
        <w:spacing w:before="301"/>
        <w:ind w:right="155"/>
      </w:pPr>
      <w:r>
        <w:rPr/>
        <w:t>ADQUIRIR</w:t>
      </w:r>
      <w:r>
        <w:rPr>
          <w:spacing w:val="-4"/>
        </w:rPr>
        <w:t> </w:t>
      </w:r>
      <w:r>
        <w:rPr/>
        <w:t>MATERIAIS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nova</w:t>
      </w:r>
      <w:r>
        <w:rPr>
          <w:spacing w:val="-4"/>
        </w:rPr>
        <w:t> </w:t>
      </w:r>
      <w:r>
        <w:rPr/>
        <w:t>contratação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aquisição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materiais,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3"/>
        </w:rPr>
        <w:t> </w:t>
      </w:r>
      <w:r>
        <w:rPr/>
        <w:t>de licitação, sob a regência da Lei 8.666/1993.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30" w:val="left" w:leader="none"/>
          <w:tab w:pos="8604" w:val="left" w:leader="none"/>
        </w:tabs>
        <w:spacing w:line="240" w:lineRule="auto" w:before="0" w:after="0"/>
        <w:ind w:left="530" w:right="0" w:hanging="426"/>
        <w:jc w:val="left"/>
      </w:pPr>
      <w:r>
        <w:rPr>
          <w:color w:val="000000"/>
          <w:spacing w:val="-2"/>
          <w:shd w:fill="D8D8D8" w:color="auto" w:val="clear"/>
        </w:rPr>
        <w:t>Unidade</w:t>
      </w:r>
      <w:r>
        <w:rPr>
          <w:color w:val="000000"/>
          <w:spacing w:val="-15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Organizacional</w:t>
      </w:r>
      <w:r>
        <w:rPr>
          <w:color w:val="000000"/>
          <w:spacing w:val="-16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Responsável</w:t>
      </w:r>
      <w:r>
        <w:rPr>
          <w:color w:val="000000"/>
          <w:spacing w:val="-14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pelo</w:t>
      </w:r>
      <w:r>
        <w:rPr>
          <w:color w:val="000000"/>
          <w:spacing w:val="-16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Processo</w:t>
      </w:r>
      <w:r>
        <w:rPr>
          <w:color w:val="000000"/>
          <w:shd w:fill="D8D8D8" w:color="auto" w:val="clear"/>
        </w:rPr>
        <w:tab/>
      </w:r>
    </w:p>
    <w:p>
      <w:pPr>
        <w:pStyle w:val="BodyText"/>
        <w:spacing w:before="300"/>
        <w:ind w:right="4726"/>
      </w:pPr>
      <w:r>
        <w:rPr/>
        <w:t>Núcleo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Administração</w:t>
      </w:r>
      <w:r>
        <w:rPr>
          <w:spacing w:val="-13"/>
        </w:rPr>
        <w:t> </w:t>
      </w:r>
      <w:r>
        <w:rPr/>
        <w:t>(NA) </w:t>
      </w:r>
      <w:hyperlink r:id="rId6">
        <w:r>
          <w:rPr>
            <w:spacing w:val="-2"/>
          </w:rPr>
          <w:t>na@jfse.jus.br</w:t>
        </w:r>
      </w:hyperlink>
    </w:p>
    <w:p>
      <w:pPr>
        <w:pStyle w:val="BodyText"/>
        <w:spacing w:before="1"/>
        <w:ind w:right="4726"/>
      </w:pPr>
      <w:r>
        <w:rPr/>
        <w:t>Gestor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Processo:</w:t>
      </w:r>
      <w:r>
        <w:rPr>
          <w:spacing w:val="-6"/>
        </w:rPr>
        <w:t> </w:t>
      </w:r>
      <w:r>
        <w:rPr/>
        <w:t>Willams</w:t>
      </w:r>
      <w:r>
        <w:rPr>
          <w:spacing w:val="-9"/>
        </w:rPr>
        <w:t> </w:t>
      </w:r>
      <w:r>
        <w:rPr/>
        <w:t>Noia</w:t>
      </w:r>
      <w:r>
        <w:rPr>
          <w:spacing w:val="-8"/>
        </w:rPr>
        <w:t> </w:t>
      </w:r>
      <w:r>
        <w:rPr/>
        <w:t>Ribeiro </w:t>
      </w:r>
      <w:hyperlink r:id="rId7">
        <w:r>
          <w:rPr>
            <w:spacing w:val="-2"/>
          </w:rPr>
          <w:t>willams.noia@jfse.jus.br</w:t>
        </w:r>
      </w:hyperlink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530" w:val="left" w:leader="none"/>
          <w:tab w:pos="8604" w:val="left" w:leader="none"/>
        </w:tabs>
        <w:spacing w:line="240" w:lineRule="auto" w:before="0" w:after="0"/>
        <w:ind w:left="530" w:right="0" w:hanging="426"/>
        <w:jc w:val="left"/>
      </w:pPr>
      <w:r>
        <w:rPr>
          <w:color w:val="000000"/>
          <w:spacing w:val="-2"/>
          <w:shd w:fill="D8D8D8" w:color="auto" w:val="clear"/>
        </w:rPr>
        <w:t>Objetivo</w:t>
      </w:r>
      <w:r>
        <w:rPr>
          <w:color w:val="000000"/>
          <w:spacing w:val="-13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do</w:t>
      </w:r>
      <w:r>
        <w:rPr>
          <w:color w:val="000000"/>
          <w:spacing w:val="-10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Processo</w:t>
      </w:r>
      <w:r>
        <w:rPr>
          <w:color w:val="000000"/>
          <w:shd w:fill="D8D8D8" w:color="auto" w:val="clear"/>
        </w:rPr>
        <w:tab/>
      </w:r>
    </w:p>
    <w:p>
      <w:pPr>
        <w:pStyle w:val="BodyText"/>
        <w:spacing w:before="301"/>
        <w:ind w:right="118"/>
        <w:jc w:val="both"/>
      </w:pPr>
      <w:r>
        <w:rPr/>
        <w:t>Atender às necessidades referentes ao suprimento de materiais da JFSE de forma tempestiva, conforme o planejamento anual, dentro das melhores condições de preços de mercado e de </w:t>
      </w:r>
      <w:r>
        <w:rPr>
          <w:spacing w:val="-2"/>
        </w:rPr>
        <w:t>qualidade.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ind w:right="118"/>
        <w:jc w:val="both"/>
      </w:pPr>
      <w:r>
        <w:rPr/>
        <w:t>Entradas: Plano de Contratações Anual (PCA) e demandas supervenientes, devidamente justificadas e aprovadas pelo Ordenador de Despesa</w:t>
      </w:r>
      <w:r>
        <w:rPr>
          <w:color w:val="2E5395"/>
        </w:rPr>
        <w:t>. </w:t>
      </w:r>
      <w:r>
        <w:rPr/>
        <w:t>Informações sobre o mercado e contratações realizadas por outros órgãos.</w:t>
      </w: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/>
        <w:t>Saídas:</w:t>
      </w:r>
      <w:r>
        <w:rPr>
          <w:spacing w:val="-6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adquiridos,</w:t>
      </w:r>
      <w:r>
        <w:rPr>
          <w:spacing w:val="-3"/>
        </w:rPr>
        <w:t> </w:t>
      </w:r>
      <w:r>
        <w:rPr/>
        <w:t>contratos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garantias.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30" w:val="left" w:leader="none"/>
          <w:tab w:pos="8604" w:val="left" w:leader="none"/>
        </w:tabs>
        <w:spacing w:line="240" w:lineRule="auto" w:before="1" w:after="0"/>
        <w:ind w:left="530" w:right="0" w:hanging="426"/>
        <w:jc w:val="left"/>
      </w:pPr>
      <w:r>
        <w:rPr>
          <w:color w:val="000000"/>
          <w:spacing w:val="-2"/>
          <w:shd w:fill="D8D8D8" w:color="auto" w:val="clear"/>
        </w:rPr>
        <w:t>Fornecedores</w:t>
      </w:r>
      <w:r>
        <w:rPr>
          <w:color w:val="000000"/>
          <w:spacing w:val="-9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de</w:t>
      </w:r>
      <w:r>
        <w:rPr>
          <w:color w:val="000000"/>
          <w:spacing w:val="-8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Insumos</w:t>
      </w:r>
      <w:r>
        <w:rPr>
          <w:color w:val="000000"/>
          <w:shd w:fill="D8D8D8" w:color="auto" w:val="clear"/>
        </w:rPr>
        <w:tab/>
      </w:r>
    </w:p>
    <w:p>
      <w:pPr>
        <w:pStyle w:val="BodyText"/>
        <w:spacing w:before="300"/>
        <w:ind w:right="5826"/>
        <w:jc w:val="both"/>
      </w:pPr>
      <w:r>
        <w:rPr/>
        <w:t>Unidades</w:t>
      </w:r>
      <w:r>
        <w:rPr>
          <w:spacing w:val="-13"/>
        </w:rPr>
        <w:t> </w:t>
      </w:r>
      <w:r>
        <w:rPr/>
        <w:t>técnicas/requerentes Fornecedores de Materiais</w:t>
      </w:r>
    </w:p>
    <w:p>
      <w:pPr>
        <w:pStyle w:val="BodyText"/>
        <w:spacing w:before="1"/>
        <w:ind w:right="118"/>
        <w:jc w:val="both"/>
      </w:pPr>
      <w:r>
        <w:rPr/>
        <w:t>Sistemas: Banco de preços privado, sistemas nativos Compras.Gov (Cotação/Dispensa, IRP, Compras, Divulgação de Compras, Catálogo de Materiais e Serviços, Compras Contratos) e sistemas externos com acesso Compras.Gov (Diário Oficial, Sicaf, HOD Siasg, Painel de Preços); páginas eletrônicas oficiais do TCU, CNJ e Transparência CEIS (certidões).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530" w:val="left" w:leader="none"/>
          <w:tab w:pos="8604" w:val="left" w:leader="none"/>
        </w:tabs>
        <w:spacing w:line="240" w:lineRule="auto" w:before="0" w:after="0"/>
        <w:ind w:left="530" w:right="0" w:hanging="426"/>
        <w:jc w:val="left"/>
      </w:pPr>
      <w:r>
        <w:rPr>
          <w:color w:val="000000"/>
          <w:spacing w:val="-4"/>
          <w:shd w:fill="D8D8D8" w:color="auto" w:val="clear"/>
        </w:rPr>
        <w:t>Consumidores</w:t>
      </w:r>
      <w:r>
        <w:rPr>
          <w:color w:val="000000"/>
          <w:spacing w:val="-11"/>
          <w:shd w:fill="D8D8D8" w:color="auto" w:val="clear"/>
        </w:rPr>
        <w:t> </w:t>
      </w:r>
      <w:r>
        <w:rPr>
          <w:color w:val="000000"/>
          <w:spacing w:val="-4"/>
          <w:shd w:fill="D8D8D8" w:color="auto" w:val="clear"/>
        </w:rPr>
        <w:t>das</w:t>
      </w:r>
      <w:r>
        <w:rPr>
          <w:color w:val="000000"/>
          <w:spacing w:val="-9"/>
          <w:shd w:fill="D8D8D8" w:color="auto" w:val="clear"/>
        </w:rPr>
        <w:t> </w:t>
      </w:r>
      <w:r>
        <w:rPr>
          <w:color w:val="000000"/>
          <w:spacing w:val="-4"/>
          <w:shd w:fill="D8D8D8" w:color="auto" w:val="clear"/>
        </w:rPr>
        <w:t>Saídas</w:t>
      </w:r>
      <w:r>
        <w:rPr>
          <w:color w:val="000000"/>
          <w:shd w:fill="D8D8D8" w:color="auto" w:val="clear"/>
        </w:rPr>
        <w:tab/>
      </w:r>
    </w:p>
    <w:p>
      <w:pPr>
        <w:pStyle w:val="BodyText"/>
        <w:spacing w:before="277"/>
        <w:ind w:right="155"/>
      </w:pPr>
      <w:r>
        <w:rPr/>
        <w:t>Requerentes: Núcleo de Administração (Seção de Material e Patrimônio – SMP, Seção de Engenharia – SENG, Seção de Administração Predial – SAP); Núcleo de Tecnologia da Informação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NTIC;</w:t>
      </w:r>
      <w:r>
        <w:rPr>
          <w:spacing w:val="-4"/>
        </w:rPr>
        <w:t> </w:t>
      </w:r>
      <w:r>
        <w:rPr/>
        <w:t>Núcleo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Gestão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Pessoas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NGP;</w:t>
      </w:r>
      <w:r>
        <w:rPr>
          <w:spacing w:val="-4"/>
        </w:rPr>
        <w:t> </w:t>
      </w:r>
      <w:r>
        <w:rPr/>
        <w:t>Núcleo</w:t>
      </w:r>
      <w:r>
        <w:rPr>
          <w:spacing w:val="-4"/>
        </w:rPr>
        <w:t> </w:t>
      </w:r>
      <w:r>
        <w:rPr/>
        <w:t>Judiciário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NJ e demais unidades da JFSE.</w:t>
      </w:r>
    </w:p>
    <w:p>
      <w:pPr>
        <w:pStyle w:val="BodyText"/>
        <w:spacing w:before="2"/>
        <w:jc w:val="both"/>
      </w:pPr>
      <w:r>
        <w:rPr/>
        <w:t>Beneficiários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NA,</w:t>
      </w:r>
      <w:r>
        <w:rPr>
          <w:spacing w:val="-3"/>
        </w:rPr>
        <w:t> </w:t>
      </w:r>
      <w:r>
        <w:rPr/>
        <w:t>SMP,</w:t>
      </w:r>
      <w:r>
        <w:rPr>
          <w:spacing w:val="-3"/>
        </w:rPr>
        <w:t> </w:t>
      </w:r>
      <w:r>
        <w:rPr/>
        <w:t>SENG,</w:t>
      </w:r>
      <w:r>
        <w:rPr>
          <w:spacing w:val="-4"/>
        </w:rPr>
        <w:t> </w:t>
      </w:r>
      <w:r>
        <w:rPr/>
        <w:t>SAP,</w:t>
      </w:r>
      <w:r>
        <w:rPr>
          <w:spacing w:val="-2"/>
        </w:rPr>
        <w:t> </w:t>
      </w:r>
      <w:r>
        <w:rPr/>
        <w:t>NTIC,</w:t>
      </w:r>
      <w:r>
        <w:rPr>
          <w:spacing w:val="-4"/>
        </w:rPr>
        <w:t> </w:t>
      </w:r>
      <w:r>
        <w:rPr/>
        <w:t>NGP,</w:t>
      </w:r>
      <w:r>
        <w:rPr>
          <w:spacing w:val="-3"/>
        </w:rPr>
        <w:t> </w:t>
      </w:r>
      <w:r>
        <w:rPr/>
        <w:t>NJ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demais</w:t>
      </w:r>
      <w:r>
        <w:rPr>
          <w:spacing w:val="-4"/>
        </w:rPr>
        <w:t> </w:t>
      </w:r>
      <w:r>
        <w:rPr/>
        <w:t>unidades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JFSE.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30" w:val="left" w:leader="none"/>
          <w:tab w:pos="8604" w:val="left" w:leader="none"/>
        </w:tabs>
        <w:spacing w:line="240" w:lineRule="auto" w:before="0" w:after="0"/>
        <w:ind w:left="530" w:right="0" w:hanging="426"/>
        <w:jc w:val="left"/>
      </w:pPr>
      <w:r>
        <w:rPr>
          <w:color w:val="000000"/>
          <w:spacing w:val="-7"/>
          <w:shd w:fill="D8D8D8" w:color="auto" w:val="clear"/>
        </w:rPr>
        <w:t>Procedimentos</w:t>
      </w:r>
      <w:r>
        <w:rPr>
          <w:color w:val="000000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Relacionados</w:t>
      </w:r>
      <w:r>
        <w:rPr>
          <w:color w:val="000000"/>
          <w:shd w:fill="D8D8D8" w:color="auto" w:val="clear"/>
        </w:rPr>
        <w:tab/>
      </w:r>
    </w:p>
    <w:p>
      <w:pPr>
        <w:pStyle w:val="BodyText"/>
        <w:spacing w:before="277"/>
        <w:ind w:right="4726"/>
      </w:pPr>
      <w:r>
        <w:rPr/>
        <w:t>Monitoramento</w:t>
      </w:r>
      <w:r>
        <w:rPr>
          <w:spacing w:val="-4"/>
        </w:rPr>
        <w:t> </w:t>
      </w:r>
      <w:r>
        <w:rPr/>
        <w:t>da execução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PAC/PCA Controle de Estoque do Almoxarifado Solicitações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abrangidas</w:t>
      </w:r>
      <w:r>
        <w:rPr>
          <w:spacing w:val="-11"/>
        </w:rPr>
        <w:t> </w:t>
      </w:r>
      <w:r>
        <w:rPr/>
        <w:t>pelo</w:t>
      </w:r>
      <w:r>
        <w:rPr>
          <w:spacing w:val="-11"/>
        </w:rPr>
        <w:t> </w:t>
      </w:r>
      <w:r>
        <w:rPr/>
        <w:t>PAC/PCA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07" w:footer="0" w:top="1320" w:bottom="280" w:left="1600" w:right="158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30" w:val="left" w:leader="none"/>
          <w:tab w:pos="8604" w:val="left" w:leader="none"/>
        </w:tabs>
        <w:spacing w:line="240" w:lineRule="auto" w:before="101" w:after="0"/>
        <w:ind w:left="530" w:right="0" w:hanging="426"/>
        <w:jc w:val="left"/>
      </w:pPr>
      <w:r>
        <w:rPr>
          <w:color w:val="000000"/>
          <w:shd w:fill="D8D8D8" w:color="auto" w:val="clear"/>
        </w:rPr>
        <w:t>Periodicidade</w:t>
      </w:r>
      <w:r>
        <w:rPr>
          <w:color w:val="000000"/>
          <w:spacing w:val="-6"/>
          <w:shd w:fill="D8D8D8" w:color="auto" w:val="clear"/>
        </w:rPr>
        <w:t> </w:t>
      </w:r>
      <w:r>
        <w:rPr>
          <w:color w:val="000000"/>
          <w:shd w:fill="D8D8D8" w:color="auto" w:val="clear"/>
        </w:rPr>
        <w:t>de</w:t>
      </w:r>
      <w:r>
        <w:rPr>
          <w:color w:val="000000"/>
          <w:spacing w:val="-8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Execução</w:t>
      </w:r>
      <w:r>
        <w:rPr>
          <w:color w:val="000000"/>
          <w:shd w:fill="D8D8D8" w:color="auto" w:val="clear"/>
        </w:rPr>
        <w:tab/>
      </w:r>
    </w:p>
    <w:p>
      <w:pPr>
        <w:pStyle w:val="BodyText"/>
        <w:tabs>
          <w:tab w:pos="1151" w:val="left" w:leader="none"/>
          <w:tab w:pos="2390" w:val="left" w:leader="none"/>
          <w:tab w:pos="3737" w:val="left" w:leader="none"/>
        </w:tabs>
        <w:spacing w:before="301"/>
      </w:pPr>
      <w:r>
        <w:rPr>
          <w:color w:val="2E5395"/>
        </w:rPr>
        <w:t>(</w:t>
      </w:r>
      <w:r>
        <w:rPr>
          <w:color w:val="2E5395"/>
          <w:spacing w:val="-3"/>
        </w:rPr>
        <w:t> </w:t>
      </w:r>
      <w:r>
        <w:rPr>
          <w:color w:val="2E5395"/>
        </w:rPr>
        <w:t>)</w:t>
      </w:r>
      <w:r>
        <w:rPr>
          <w:color w:val="2E5395"/>
          <w:spacing w:val="-1"/>
        </w:rPr>
        <w:t> </w:t>
      </w:r>
      <w:r>
        <w:rPr>
          <w:color w:val="2E5395"/>
          <w:spacing w:val="-2"/>
        </w:rPr>
        <w:t>Anual.</w:t>
      </w:r>
      <w:r>
        <w:rPr>
          <w:color w:val="2E5395"/>
        </w:rPr>
        <w:tab/>
        <w:t>(</w:t>
      </w:r>
      <w:r>
        <w:rPr>
          <w:color w:val="2E5395"/>
          <w:spacing w:val="48"/>
        </w:rPr>
        <w:t> </w:t>
      </w:r>
      <w:r>
        <w:rPr>
          <w:color w:val="2E5395"/>
        </w:rPr>
        <w:t>)</w:t>
      </w:r>
      <w:r>
        <w:rPr>
          <w:color w:val="2E5395"/>
          <w:spacing w:val="-1"/>
        </w:rPr>
        <w:t> </w:t>
      </w:r>
      <w:r>
        <w:rPr>
          <w:color w:val="2E5395"/>
          <w:spacing w:val="-2"/>
        </w:rPr>
        <w:t>Mensal.</w:t>
      </w:r>
      <w:r>
        <w:rPr>
          <w:color w:val="2E5395"/>
        </w:rPr>
        <w:tab/>
        <w:t>(</w:t>
      </w:r>
      <w:r>
        <w:rPr>
          <w:color w:val="2E5395"/>
          <w:spacing w:val="48"/>
        </w:rPr>
        <w:t> </w:t>
      </w:r>
      <w:r>
        <w:rPr>
          <w:color w:val="2E5395"/>
        </w:rPr>
        <w:t>)</w:t>
      </w:r>
      <w:r>
        <w:rPr>
          <w:color w:val="2E5395"/>
          <w:spacing w:val="-1"/>
        </w:rPr>
        <w:t> </w:t>
      </w:r>
      <w:r>
        <w:rPr>
          <w:color w:val="2E5395"/>
          <w:spacing w:val="-2"/>
        </w:rPr>
        <w:t>Semanal.</w:t>
      </w:r>
      <w:r>
        <w:rPr>
          <w:color w:val="2E5395"/>
        </w:rPr>
        <w:tab/>
        <w:t>(</w:t>
      </w:r>
      <w:r>
        <w:rPr>
          <w:color w:val="2E5395"/>
          <w:spacing w:val="47"/>
        </w:rPr>
        <w:t> </w:t>
      </w:r>
      <w:r>
        <w:rPr>
          <w:color w:val="2E5395"/>
        </w:rPr>
        <w:t>)</w:t>
      </w:r>
      <w:r>
        <w:rPr>
          <w:color w:val="2E5395"/>
          <w:spacing w:val="-1"/>
        </w:rPr>
        <w:t> </w:t>
      </w:r>
      <w:r>
        <w:rPr>
          <w:color w:val="2E5395"/>
        </w:rPr>
        <w:t>Diário.</w:t>
      </w:r>
      <w:r>
        <w:rPr>
          <w:color w:val="2E5395"/>
          <w:spacing w:val="49"/>
        </w:rPr>
        <w:t>  </w:t>
      </w:r>
      <w:r>
        <w:rPr>
          <w:color w:val="2E5395"/>
        </w:rPr>
        <w:t>(</w:t>
      </w:r>
      <w:r>
        <w:rPr>
          <w:color w:val="2E5395"/>
          <w:spacing w:val="72"/>
          <w:w w:val="150"/>
        </w:rPr>
        <w:t> </w:t>
      </w:r>
      <w:r>
        <w:rPr>
          <w:color w:val="2E5395"/>
        </w:rPr>
        <w:t>)</w:t>
      </w:r>
      <w:r>
        <w:rPr>
          <w:color w:val="2E5395"/>
          <w:spacing w:val="-1"/>
        </w:rPr>
        <w:t> </w:t>
      </w:r>
      <w:r>
        <w:rPr>
          <w:color w:val="2E5395"/>
        </w:rPr>
        <w:t>Sob demanda.</w:t>
      </w:r>
      <w:r>
        <w:rPr>
          <w:color w:val="2E5395"/>
          <w:spacing w:val="49"/>
        </w:rPr>
        <w:t> </w:t>
      </w:r>
      <w:r>
        <w:rPr>
          <w:color w:val="2E5395"/>
        </w:rPr>
        <w:t>(</w:t>
      </w:r>
      <w:r>
        <w:rPr/>
        <w:t>X</w:t>
      </w:r>
      <w:r>
        <w:rPr>
          <w:color w:val="2E5395"/>
        </w:rPr>
        <w:t>)Outros:</w:t>
      </w:r>
      <w:r>
        <w:rPr>
          <w:color w:val="2E5395"/>
          <w:spacing w:val="1"/>
        </w:rPr>
        <w:t> </w:t>
      </w:r>
      <w:r>
        <w:rPr>
          <w:color w:val="2E5395"/>
          <w:spacing w:val="-2"/>
        </w:rPr>
        <w:t>Contínuo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30" w:val="left" w:leader="none"/>
          <w:tab w:pos="8604" w:val="left" w:leader="none"/>
        </w:tabs>
        <w:spacing w:line="240" w:lineRule="auto" w:before="0" w:after="0"/>
        <w:ind w:left="530" w:right="0" w:hanging="426"/>
        <w:jc w:val="left"/>
      </w:pPr>
      <w:r>
        <w:rPr>
          <w:color w:val="000000"/>
          <w:shd w:fill="D8D8D8" w:color="auto" w:val="clear"/>
        </w:rPr>
        <w:t>Regulamentação</w:t>
      </w:r>
      <w:r>
        <w:rPr>
          <w:color w:val="000000"/>
          <w:spacing w:val="-6"/>
          <w:shd w:fill="D8D8D8" w:color="auto" w:val="clear"/>
        </w:rPr>
        <w:t> </w:t>
      </w:r>
      <w:r>
        <w:rPr>
          <w:color w:val="000000"/>
          <w:shd w:fill="D8D8D8" w:color="auto" w:val="clear"/>
        </w:rPr>
        <w:t>do</w:t>
      </w:r>
      <w:r>
        <w:rPr>
          <w:color w:val="000000"/>
          <w:spacing w:val="-4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Processo</w:t>
      </w:r>
      <w:r>
        <w:rPr>
          <w:color w:val="000000"/>
          <w:shd w:fill="D8D8D8" w:color="auto" w:val="clear"/>
        </w:rPr>
        <w:tab/>
      </w:r>
    </w:p>
    <w:p>
      <w:pPr>
        <w:pStyle w:val="BodyText"/>
        <w:spacing w:before="301"/>
        <w:ind w:right="2820"/>
      </w:pPr>
      <w:r>
        <w:rPr/>
        <w:t>Lei 8.666/1993 – Lei de Licitações e Contratos: </w:t>
      </w:r>
      <w:hyperlink r:id="rId8">
        <w:r>
          <w:rPr>
            <w:color w:val="00007F"/>
            <w:spacing w:val="-2"/>
            <w:u w:val="single" w:color="00007F"/>
          </w:rPr>
          <w:t>https://www.planalto.gov.br/ccivil_03/leis/l8666cons.htm</w:t>
        </w:r>
      </w:hyperlink>
      <w:r>
        <w:rPr>
          <w:color w:val="00007F"/>
          <w:spacing w:val="-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10.024/2019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Regulamento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Pregão</w:t>
      </w:r>
      <w:r>
        <w:rPr>
          <w:spacing w:val="-8"/>
        </w:rPr>
        <w:t> </w:t>
      </w:r>
      <w:r>
        <w:rPr/>
        <w:t>Eletrônico:</w:t>
      </w:r>
    </w:p>
    <w:p>
      <w:pPr>
        <w:pStyle w:val="BodyText"/>
      </w:pPr>
      <w:hyperlink r:id="rId9">
        <w:r>
          <w:rPr>
            <w:color w:val="00007F"/>
            <w:spacing w:val="-2"/>
            <w:u w:val="single" w:color="00007F"/>
          </w:rPr>
          <w:t>https://www.planalto.gov.br/ccivil_03/_ato2019-2022/2019/decreto/d10024.htm</w:t>
        </w:r>
      </w:hyperlink>
    </w:p>
    <w:p>
      <w:pPr>
        <w:pStyle w:val="BodyText"/>
        <w:spacing w:before="2"/>
        <w:ind w:right="155"/>
      </w:pPr>
      <w:r>
        <w:rPr/>
        <w:t>Lei</w:t>
      </w:r>
      <w:r>
        <w:rPr>
          <w:spacing w:val="-4"/>
        </w:rPr>
        <w:t> </w:t>
      </w:r>
      <w:r>
        <w:rPr/>
        <w:t>Complementar</w:t>
      </w:r>
      <w:r>
        <w:rPr>
          <w:spacing w:val="-4"/>
        </w:rPr>
        <w:t> </w:t>
      </w:r>
      <w:r>
        <w:rPr/>
        <w:t>123/2006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Estatuto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Microempresa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Empresa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Pequeno Porte: </w:t>
      </w:r>
      <w:hyperlink r:id="rId10">
        <w:r>
          <w:rPr>
            <w:color w:val="00007F"/>
            <w:u w:val="single" w:color="00007F"/>
          </w:rPr>
          <w:t>https://www.planalto.gov.br/ccivil_03/leis/lcp/lcp123.htm</w:t>
        </w:r>
      </w:hyperlink>
    </w:p>
    <w:p>
      <w:pPr>
        <w:pStyle w:val="BodyText"/>
        <w:spacing w:before="1"/>
        <w:ind w:right="585"/>
      </w:pPr>
      <w:r>
        <w:rPr/>
        <w:t>Decreto 7.892/2013 – Sistema de Registro de Preços: </w:t>
      </w:r>
      <w:hyperlink r:id="rId11">
        <w:r>
          <w:rPr>
            <w:color w:val="00007F"/>
            <w:spacing w:val="-2"/>
            <w:u w:val="single" w:color="00007F"/>
          </w:rPr>
          <w:t>https://www.planalto.gov.br/ccivil_03/_ato2011-2014/2013/decreto/d7892.htm</w:t>
        </w:r>
      </w:hyperlink>
      <w:r>
        <w:rPr>
          <w:color w:val="00007F"/>
          <w:spacing w:val="80"/>
          <w:w w:val="150"/>
        </w:rPr>
        <w:t> </w:t>
      </w:r>
      <w:r>
        <w:rPr/>
        <w:t>Instrução</w:t>
      </w:r>
      <w:r>
        <w:rPr>
          <w:spacing w:val="-5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SEGES/ME</w:t>
      </w:r>
      <w:r>
        <w:rPr>
          <w:spacing w:val="-4"/>
        </w:rPr>
        <w:t> </w:t>
      </w:r>
      <w:r>
        <w:rPr/>
        <w:t>nº</w:t>
      </w:r>
      <w:r>
        <w:rPr>
          <w:spacing w:val="-5"/>
        </w:rPr>
        <w:t> </w:t>
      </w:r>
      <w:r>
        <w:rPr/>
        <w:t>73/2020</w:t>
      </w:r>
      <w:r>
        <w:rPr>
          <w:spacing w:val="-4"/>
        </w:rPr>
        <w:t> </w:t>
      </w:r>
      <w:r>
        <w:rPr/>
        <w:t>– Pesquisa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aquisição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bens</w:t>
      </w:r>
      <w:r>
        <w:rPr>
          <w:spacing w:val="-5"/>
        </w:rPr>
        <w:t> </w:t>
      </w:r>
      <w:r>
        <w:rPr/>
        <w:t>e Modelos de minutas de termos de referência, editais e contratos CGU/AGU: </w:t>
      </w:r>
      <w:hyperlink r:id="rId12">
        <w:r>
          <w:rPr>
            <w:color w:val="00007F"/>
            <w:spacing w:val="-2"/>
            <w:u w:val="single" w:color="00007F"/>
          </w:rPr>
          <w:t>https://www.gov.br/agu/pt-br/composicao/cgu/cgu/modelos/licitacoesecontratos</w:t>
        </w:r>
      </w:hyperlink>
      <w:r>
        <w:rPr>
          <w:color w:val="00007F"/>
          <w:spacing w:val="-2"/>
        </w:rPr>
        <w:t> </w:t>
      </w:r>
      <w:r>
        <w:rPr/>
        <w:t>Catálogo de Compras: </w:t>
      </w:r>
      <w:hyperlink r:id="rId13">
        <w:r>
          <w:rPr>
            <w:color w:val="00007F"/>
            <w:u w:val="single" w:color="00007F"/>
          </w:rPr>
          <w:t>https://catalogo.compras.gov.br/cnbs-web/busca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30" w:val="left" w:leader="none"/>
          <w:tab w:pos="8604" w:val="left" w:leader="none"/>
        </w:tabs>
        <w:spacing w:line="240" w:lineRule="auto" w:before="102" w:after="0"/>
        <w:ind w:left="530" w:right="0" w:hanging="426"/>
        <w:jc w:val="left"/>
      </w:pPr>
      <w:r>
        <w:rPr>
          <w:color w:val="000000"/>
          <w:w w:val="90"/>
          <w:shd w:fill="D8D8D8" w:color="auto" w:val="clear"/>
        </w:rPr>
        <w:t>Recursos</w:t>
      </w:r>
      <w:r>
        <w:rPr>
          <w:color w:val="000000"/>
          <w:spacing w:val="34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Tecnológicos</w:t>
      </w:r>
      <w:r>
        <w:rPr>
          <w:color w:val="000000"/>
          <w:shd w:fill="D8D8D8" w:color="auto" w:val="clear"/>
        </w:rPr>
        <w:tab/>
      </w:r>
    </w:p>
    <w:p>
      <w:pPr>
        <w:pStyle w:val="BodyText"/>
        <w:spacing w:before="301"/>
        <w:ind w:right="155"/>
      </w:pPr>
      <w:r>
        <w:rPr/>
        <w:t>SEI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Sistema</w:t>
      </w:r>
      <w:r>
        <w:rPr>
          <w:spacing w:val="-9"/>
        </w:rPr>
        <w:t> </w:t>
      </w:r>
      <w:r>
        <w:rPr/>
        <w:t>Eletrônico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Informações:</w:t>
      </w:r>
      <w:r>
        <w:rPr>
          <w:spacing w:val="-5"/>
        </w:rPr>
        <w:t> </w:t>
      </w:r>
      <w:hyperlink r:id="rId14">
        <w:r>
          <w:rPr>
            <w:color w:val="00007F"/>
            <w:u w:val="single" w:color="00007F"/>
          </w:rPr>
          <w:t>https://sip.trf5.jus.br/sip/login.php?</w:t>
        </w:r>
      </w:hyperlink>
      <w:r>
        <w:rPr>
          <w:color w:val="00007F"/>
        </w:rPr>
        <w:t> </w:t>
      </w:r>
      <w:hyperlink r:id="rId14">
        <w:r>
          <w:rPr>
            <w:color w:val="00007F"/>
            <w:spacing w:val="-2"/>
            <w:u w:val="single" w:color="00007F"/>
          </w:rPr>
          <w:t>sigla_orgao_sistema=TRF5&amp;sigla_sistema=SEI</w:t>
        </w:r>
      </w:hyperlink>
    </w:p>
    <w:p>
      <w:pPr>
        <w:pStyle w:val="BodyText"/>
        <w:spacing w:before="1"/>
        <w:ind w:right="155"/>
      </w:pPr>
      <w:r>
        <w:rPr/>
        <w:t>SGA - Sistema de Gestão de Acesso ao SIASG: </w:t>
      </w:r>
      <w:hyperlink r:id="rId15">
        <w:r>
          <w:rPr>
            <w:color w:val="00007F"/>
            <w:spacing w:val="-2"/>
            <w:u w:val="single" w:color="00007F"/>
          </w:rPr>
          <w:t>https://www.gestaodeacesso.comprasgovernamentais.gov.br/login</w:t>
        </w:r>
      </w:hyperlink>
    </w:p>
    <w:p>
      <w:pPr>
        <w:pStyle w:val="BodyText"/>
        <w:spacing w:before="1"/>
        <w:ind w:right="893"/>
      </w:pPr>
      <w:r>
        <w:rPr/>
        <w:t>Compras</w:t>
      </w:r>
      <w:r>
        <w:rPr>
          <w:spacing w:val="-4"/>
        </w:rPr>
        <w:t> </w:t>
      </w:r>
      <w:r>
        <w:rPr/>
        <w:t>(módulos</w:t>
      </w:r>
      <w:r>
        <w:rPr>
          <w:spacing w:val="-2"/>
        </w:rPr>
        <w:t> </w:t>
      </w:r>
      <w:r>
        <w:rPr/>
        <w:t>gestão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atas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preços,</w:t>
      </w:r>
      <w:r>
        <w:rPr>
          <w:spacing w:val="-4"/>
        </w:rPr>
        <w:t> </w:t>
      </w:r>
      <w:r>
        <w:rPr/>
        <w:t>ETP</w:t>
      </w:r>
      <w:r>
        <w:rPr>
          <w:spacing w:val="-3"/>
        </w:rPr>
        <w:t> </w:t>
      </w:r>
      <w:r>
        <w:rPr/>
        <w:t>digital,</w:t>
      </w:r>
      <w:r>
        <w:rPr>
          <w:spacing w:val="-2"/>
        </w:rPr>
        <w:t> </w:t>
      </w:r>
      <w:r>
        <w:rPr/>
        <w:t>Gestão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Riscos): </w:t>
      </w:r>
      <w:hyperlink r:id="rId16">
        <w:r>
          <w:rPr>
            <w:color w:val="00007F"/>
            <w:spacing w:val="-2"/>
            <w:u w:val="single" w:color="00007F"/>
          </w:rPr>
          <w:t>https://www.gov.br/compras/pt-br/</w:t>
        </w:r>
      </w:hyperlink>
    </w:p>
    <w:p>
      <w:pPr>
        <w:pStyle w:val="BodyText"/>
        <w:spacing w:line="268" w:lineRule="exact" w:before="1"/>
      </w:pPr>
      <w:r>
        <w:rPr/>
        <w:t>Compras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Cursos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Capacitações:</w:t>
      </w:r>
    </w:p>
    <w:p>
      <w:pPr>
        <w:pStyle w:val="BodyText"/>
        <w:ind w:right="155"/>
      </w:pPr>
      <w:hyperlink r:id="rId17">
        <w:r>
          <w:rPr>
            <w:color w:val="00007F"/>
            <w:spacing w:val="-2"/>
            <w:u w:val="single" w:color="00007F"/>
          </w:rPr>
          <w:t>https://www.gov.br/compras/pt-br/acesso-a-informacao/cursos-e-capacitacoes/cursos-e-</w:t>
        </w:r>
      </w:hyperlink>
      <w:r>
        <w:rPr>
          <w:color w:val="00007F"/>
          <w:spacing w:val="-2"/>
        </w:rPr>
        <w:t> </w:t>
      </w:r>
      <w:hyperlink r:id="rId17">
        <w:r>
          <w:rPr>
            <w:color w:val="00007F"/>
            <w:spacing w:val="-2"/>
            <w:u w:val="single" w:color="00007F"/>
          </w:rPr>
          <w:t>capacitacoes</w:t>
        </w:r>
      </w:hyperlink>
    </w:p>
    <w:p>
      <w:pPr>
        <w:pStyle w:val="BodyText"/>
      </w:pPr>
      <w:r>
        <w:rPr/>
        <w:t>Consultas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Compras</w:t>
      </w:r>
      <w:r>
        <w:rPr>
          <w:spacing w:val="-4"/>
        </w:rPr>
        <w:t> </w:t>
      </w:r>
      <w:r>
        <w:rPr>
          <w:spacing w:val="-2"/>
        </w:rPr>
        <w:t>Públicas:</w:t>
      </w:r>
    </w:p>
    <w:p>
      <w:pPr>
        <w:pStyle w:val="BodyText"/>
        <w:spacing w:before="2"/>
        <w:ind w:right="1716"/>
      </w:pPr>
      <w:hyperlink r:id="rId18">
        <w:r>
          <w:rPr>
            <w:color w:val="00007F"/>
            <w:spacing w:val="-2"/>
            <w:u w:val="single" w:color="00007F"/>
          </w:rPr>
          <w:t>https://www.gov.br/compras/pt-br/acesso-a-informacao/consulta-detalhada</w:t>
        </w:r>
      </w:hyperlink>
      <w:r>
        <w:rPr>
          <w:color w:val="00007F"/>
          <w:spacing w:val="-2"/>
        </w:rPr>
        <w:t> </w:t>
      </w:r>
      <w:r>
        <w:rPr/>
        <w:t>Transparência Contratos (Unidade Gestora 090011; relatórios e planilhas): </w:t>
      </w:r>
      <w:hyperlink r:id="rId19">
        <w:r>
          <w:rPr>
            <w:color w:val="00007F"/>
            <w:spacing w:val="-2"/>
            <w:u w:val="single" w:color="00007F"/>
          </w:rPr>
          <w:t>https://contratos.comprasnet.gov.br/transparencia?unidade=090011</w:t>
        </w:r>
      </w:hyperlink>
      <w:r>
        <w:rPr>
          <w:color w:val="00007F"/>
          <w:spacing w:val="40"/>
        </w:rPr>
        <w:t> </w:t>
      </w:r>
      <w:r>
        <w:rPr/>
        <w:t>Consulta Atas de Registro de Preços: </w:t>
      </w:r>
      <w:hyperlink r:id="rId20">
        <w:r>
          <w:rPr>
            <w:color w:val="00007F"/>
            <w:spacing w:val="-2"/>
            <w:u w:val="single" w:color="00007F"/>
          </w:rPr>
          <w:t>https://www2.comprasnet.gov.br/siasgnet-atasrp/public/principal.do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30" w:val="left" w:leader="none"/>
          <w:tab w:pos="8604" w:val="left" w:leader="none"/>
        </w:tabs>
        <w:spacing w:line="240" w:lineRule="auto" w:before="101" w:after="0"/>
        <w:ind w:left="530" w:right="0" w:hanging="426"/>
        <w:jc w:val="left"/>
      </w:pPr>
      <w:r>
        <w:rPr>
          <w:color w:val="000000"/>
          <w:spacing w:val="-2"/>
          <w:shd w:fill="D8D8D8" w:color="auto" w:val="clear"/>
        </w:rPr>
        <w:t>Recursos</w:t>
      </w:r>
      <w:r>
        <w:rPr>
          <w:color w:val="000000"/>
          <w:spacing w:val="-18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Humanos</w:t>
      </w:r>
      <w:r>
        <w:rPr>
          <w:color w:val="000000"/>
          <w:spacing w:val="-17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-</w:t>
      </w:r>
      <w:r>
        <w:rPr>
          <w:color w:val="000000"/>
          <w:spacing w:val="-17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Competências</w:t>
      </w:r>
      <w:r>
        <w:rPr>
          <w:color w:val="000000"/>
          <w:spacing w:val="-15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e</w:t>
      </w:r>
      <w:r>
        <w:rPr>
          <w:color w:val="000000"/>
          <w:spacing w:val="-19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Conhecimentos</w:t>
      </w:r>
      <w:r>
        <w:rPr>
          <w:color w:val="000000"/>
          <w:shd w:fill="D8D8D8" w:color="auto" w:val="clear"/>
        </w:rPr>
        <w:tab/>
      </w:r>
    </w:p>
    <w:p>
      <w:pPr>
        <w:pStyle w:val="BodyText"/>
        <w:spacing w:before="301"/>
        <w:ind w:right="115"/>
        <w:jc w:val="both"/>
      </w:pPr>
      <w:r>
        <w:rPr/>
        <w:t>Unidade Requerente: Declarar as soluções do mercado e as formas possíveis de atendimento da demanda; informar as especificações técnicas e codificação específica do objeto, com a unidade de fornecimento aplicável, conforme disposições do Catálogo de Compras; formalizar a demanda com emprego de documentos específicos (Documento de Formalização da Demanda-DFD, Estudo Técnico Preliminar-ETP, Termo de Referência-TR); assistir o(a) agente</w:t>
      </w:r>
      <w:r>
        <w:rPr>
          <w:spacing w:val="40"/>
        </w:rPr>
        <w:t> </w:t>
      </w:r>
      <w:r>
        <w:rPr/>
        <w:t>de contratações/pregoeiro(a)/comissão de contratações no julgamento de aceitação do</w:t>
      </w:r>
      <w:r>
        <w:rPr>
          <w:spacing w:val="40"/>
        </w:rPr>
        <w:t> </w:t>
      </w:r>
      <w:r>
        <w:rPr/>
        <w:t>objeto; certificar a regularidade da entrega e aceitar o objeto como requisito de pagamento.</w:t>
      </w:r>
    </w:p>
    <w:p>
      <w:pPr>
        <w:spacing w:after="0"/>
        <w:jc w:val="both"/>
        <w:sectPr>
          <w:pgSz w:w="11910" w:h="16840"/>
          <w:pgMar w:header="707" w:footer="0" w:top="1320" w:bottom="280" w:left="1600" w:right="1580"/>
        </w:sectPr>
      </w:pPr>
    </w:p>
    <w:p>
      <w:pPr>
        <w:pStyle w:val="BodyText"/>
        <w:spacing w:line="259" w:lineRule="auto" w:before="94"/>
        <w:ind w:right="117"/>
        <w:jc w:val="both"/>
      </w:pPr>
      <w:r>
        <w:rPr/>
        <w:t>Direção do Foro-DF: autorizar a abertura de licitações e divulgação de intenção de registro de preços; julgar recursos, adjudicar e homologar o resultado de licitações; assinar notas de empenho, contratos e seus termos aditivos e apostilas; assinar atas de registro de preços; autorizar pagamentos de despesas liquidadas; aplicar penalidades decorrentes da participação de terceiros (pessoas físicas ou jurídicas) em licitações e da execução irregular de contratos.</w:t>
      </w:r>
    </w:p>
    <w:p>
      <w:pPr>
        <w:pStyle w:val="BodyText"/>
        <w:spacing w:line="259" w:lineRule="auto"/>
        <w:ind w:right="117"/>
        <w:jc w:val="both"/>
      </w:pPr>
      <w:r>
        <w:rPr/>
        <w:t>Secretaria Administrativa – SECAD: Dar andamento regular ao processo em todas as fases, promovendo sua instrução.</w:t>
      </w:r>
    </w:p>
    <w:p>
      <w:pPr>
        <w:pStyle w:val="BodyText"/>
        <w:spacing w:line="259" w:lineRule="auto"/>
        <w:ind w:right="127"/>
        <w:jc w:val="both"/>
      </w:pPr>
      <w:r>
        <w:rPr/>
        <w:t>Núcleo de Administração -NA: Dar andamento regular ao processo em todas as fases, promovendo sua instrução; analisar e validar o resultado de pesquisa de preços.</w:t>
      </w:r>
    </w:p>
    <w:p>
      <w:pPr>
        <w:pStyle w:val="BodyText"/>
        <w:spacing w:line="259" w:lineRule="auto"/>
        <w:ind w:right="125"/>
        <w:jc w:val="both"/>
      </w:pPr>
      <w:r>
        <w:rPr/>
        <w:t>Seção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Patrimônio</w:t>
      </w:r>
      <w:r>
        <w:rPr>
          <w:spacing w:val="-4"/>
        </w:rPr>
        <w:t> </w:t>
      </w:r>
      <w:r>
        <w:rPr/>
        <w:t>-SMP:</w:t>
      </w:r>
      <w:r>
        <w:rPr>
          <w:spacing w:val="-2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pesquisa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mercado,</w:t>
      </w:r>
      <w:r>
        <w:rPr>
          <w:spacing w:val="-4"/>
        </w:rPr>
        <w:t> </w:t>
      </w:r>
      <w:r>
        <w:rPr/>
        <w:t>quando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for aplicável consulta a tabelas de preços de referência e preços máximos (soluções de Tecnologia da Informação e Comunicação).</w:t>
      </w:r>
    </w:p>
    <w:p>
      <w:pPr>
        <w:pStyle w:val="BodyText"/>
        <w:spacing w:line="259" w:lineRule="auto"/>
        <w:ind w:right="124"/>
        <w:jc w:val="both"/>
      </w:pPr>
      <w:r>
        <w:rPr/>
        <w:t>Seção de Orçamento e Finanças-SOF: Certificar os saldos de dotações orçamentárias, como requisito de instrução prévia à autorização de abertura das licitações; praticar atos de execução financeira em sistema eletrônico, incluídos os pagamentos autorizados pela autoridade competente.</w:t>
      </w:r>
    </w:p>
    <w:p>
      <w:pPr>
        <w:pStyle w:val="BodyText"/>
        <w:spacing w:line="259" w:lineRule="auto"/>
        <w:ind w:right="134"/>
        <w:jc w:val="both"/>
      </w:pPr>
      <w:r>
        <w:rPr/>
        <w:t>Seção de Assessoria Jurídica-SAJ: Analisar a legalidade das minutas de editais de licitação e contratos; emitir pareceres concernentes à juridicidade dos atos decorrentes da execução </w:t>
      </w:r>
      <w:r>
        <w:rPr>
          <w:spacing w:val="-2"/>
        </w:rPr>
        <w:t>contratual.</w:t>
      </w:r>
    </w:p>
    <w:p>
      <w:pPr>
        <w:pStyle w:val="BodyText"/>
        <w:spacing w:line="259" w:lineRule="auto"/>
        <w:ind w:right="116"/>
        <w:jc w:val="both"/>
      </w:pPr>
      <w:r>
        <w:rPr/>
        <w:t>Seção de Licitações e Contratos-SLC: Formalizar intenção de registro de preços; elaborar minutas de editais de licitação, contratos e atas de registro de preços; divulgar avisos de licitação e demais atos e decisões, conforme o caso, incluído o resultado do pleito;</w:t>
      </w:r>
      <w:r>
        <w:rPr>
          <w:spacing w:val="27"/>
        </w:rPr>
        <w:t> </w:t>
      </w:r>
      <w:r>
        <w:rPr/>
        <w:t>formalizar, publicar e cadastrar contratos e atas de registros de preços.</w:t>
      </w:r>
    </w:p>
    <w:p>
      <w:pPr>
        <w:pStyle w:val="BodyText"/>
        <w:spacing w:line="259" w:lineRule="auto"/>
        <w:ind w:right="116"/>
        <w:jc w:val="both"/>
      </w:pPr>
      <w:r>
        <w:rPr/>
        <w:t>Agente de contratações/pregoeiro(a)/Comissão de contratações: Executar as licitações em sistema</w:t>
      </w:r>
      <w:r>
        <w:rPr>
          <w:spacing w:val="-2"/>
        </w:rPr>
        <w:t> </w:t>
      </w:r>
      <w:r>
        <w:rPr/>
        <w:t>eletrônico;</w:t>
      </w:r>
      <w:r>
        <w:rPr>
          <w:spacing w:val="-2"/>
        </w:rPr>
        <w:t> </w:t>
      </w:r>
      <w:r>
        <w:rPr/>
        <w:t>julgar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propostas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habilitar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inabilitar</w:t>
      </w:r>
      <w:r>
        <w:rPr>
          <w:spacing w:val="-1"/>
        </w:rPr>
        <w:t> </w:t>
      </w:r>
      <w:r>
        <w:rPr/>
        <w:t>participantes, registrando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ata da sessão todos os incidentes e decisões; dar andamento a recursos, decidindo pela sua aceitação ou recusa em juízo de admissibilidade; apreciar as razões de recursos, declarando seus fundamentos legais; submeter o julgamento de recursos à autoridade competente; adjudicar o objeto da licitação, em pregão eletrônico, quando não houver interposição de recurso; instruir o processo de licitação mediante relacionamento das peças ao processo eletrônico de origem (sistema Compras).</w:t>
      </w: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9" w:val="left" w:leader="none"/>
          <w:tab w:pos="8604" w:val="left" w:leader="none"/>
        </w:tabs>
        <w:spacing w:line="240" w:lineRule="auto" w:before="1" w:after="0"/>
        <w:ind w:left="608" w:right="0" w:hanging="505"/>
        <w:jc w:val="left"/>
      </w:pPr>
      <w:r>
        <w:rPr>
          <w:color w:val="000000"/>
          <w:shd w:fill="D8D8D8" w:color="auto" w:val="clear"/>
        </w:rPr>
        <w:t>Mensuração</w:t>
      </w:r>
      <w:r>
        <w:rPr>
          <w:color w:val="000000"/>
          <w:spacing w:val="2"/>
          <w:shd w:fill="D8D8D8" w:color="auto" w:val="clear"/>
        </w:rPr>
        <w:t> </w:t>
      </w:r>
      <w:r>
        <w:rPr>
          <w:color w:val="000000"/>
          <w:shd w:fill="D8D8D8" w:color="auto" w:val="clear"/>
        </w:rPr>
        <w:t>de</w:t>
      </w:r>
      <w:r>
        <w:rPr>
          <w:color w:val="000000"/>
          <w:spacing w:val="3"/>
          <w:shd w:fill="D8D8D8" w:color="auto" w:val="clear"/>
        </w:rPr>
        <w:t> </w:t>
      </w:r>
      <w:r>
        <w:rPr>
          <w:color w:val="000000"/>
          <w:spacing w:val="-2"/>
          <w:shd w:fill="D8D8D8" w:color="auto" w:val="clear"/>
        </w:rPr>
        <w:t>Desempenho</w:t>
      </w:r>
      <w:r>
        <w:rPr>
          <w:color w:val="000000"/>
          <w:shd w:fill="D8D8D8" w:color="auto" w:val="clear"/>
        </w:rPr>
        <w:tab/>
      </w:r>
    </w:p>
    <w:p>
      <w:pPr>
        <w:spacing w:before="301"/>
        <w:ind w:left="104" w:right="3070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> </w:t>
      </w:r>
      <w:r>
        <w:rPr>
          <w:sz w:val="24"/>
        </w:rPr>
        <w:t>há</w:t>
      </w:r>
      <w:r>
        <w:rPr>
          <w:spacing w:val="-7"/>
          <w:sz w:val="24"/>
        </w:rPr>
        <w:t> </w:t>
      </w:r>
      <w:r>
        <w:rPr>
          <w:sz w:val="24"/>
        </w:rPr>
        <w:t>indicador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desempenho</w:t>
      </w:r>
      <w:r>
        <w:rPr>
          <w:spacing w:val="-8"/>
          <w:sz w:val="24"/>
        </w:rPr>
        <w:t> </w:t>
      </w:r>
      <w:r>
        <w:rPr>
          <w:sz w:val="24"/>
        </w:rPr>
        <w:t>formalmente</w:t>
      </w:r>
      <w:r>
        <w:rPr>
          <w:spacing w:val="-7"/>
          <w:sz w:val="24"/>
        </w:rPr>
        <w:t> </w:t>
      </w:r>
      <w:r>
        <w:rPr>
          <w:sz w:val="24"/>
        </w:rPr>
        <w:t>adotado. </w:t>
      </w:r>
      <w:r>
        <w:rPr>
          <w:spacing w:val="-2"/>
          <w:sz w:val="24"/>
        </w:rPr>
        <w:t>Sugestões: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128" w:hanging="360"/>
        <w:jc w:val="both"/>
        <w:rPr>
          <w:sz w:val="24"/>
        </w:rPr>
      </w:pPr>
      <w:r>
        <w:rPr>
          <w:sz w:val="24"/>
        </w:rPr>
        <w:t>TempoMedidoProcesso – Quantidade de dias de tramitação do processo, contados desde o protocolo no SEI até o recebimento do material. Anotações: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40" w:lineRule="auto" w:before="0" w:after="0"/>
        <w:ind w:left="824" w:right="123" w:firstLine="0"/>
        <w:jc w:val="both"/>
        <w:rPr>
          <w:sz w:val="24"/>
        </w:rPr>
      </w:pPr>
      <w:r>
        <w:rPr>
          <w:sz w:val="24"/>
        </w:rPr>
        <w:t>Observar a impossibilidade, em aplicações e funcionalidade nativa de estatística do SEI, de sustação de processos, quando abertos concomitantemente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unidade.</w:t>
      </w:r>
      <w:r>
        <w:rPr>
          <w:spacing w:val="-2"/>
          <w:sz w:val="24"/>
        </w:rPr>
        <w:t> </w:t>
      </w:r>
      <w:r>
        <w:rPr>
          <w:sz w:val="24"/>
        </w:rPr>
        <w:t>2.</w:t>
      </w:r>
      <w:r>
        <w:rPr>
          <w:spacing w:val="-2"/>
          <w:sz w:val="24"/>
        </w:rPr>
        <w:t> </w:t>
      </w:r>
      <w:r>
        <w:rPr>
          <w:sz w:val="24"/>
        </w:rPr>
        <w:t>Observar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imposições</w:t>
      </w:r>
      <w:r>
        <w:rPr>
          <w:spacing w:val="-2"/>
          <w:sz w:val="24"/>
        </w:rPr>
        <w:t> </w:t>
      </w:r>
      <w:r>
        <w:rPr>
          <w:sz w:val="24"/>
        </w:rPr>
        <w:t>legais de paralisação dos trabalhos durante a instrução, tais como: prazo para abertura da licitação, contado em dias úteis a partir da publicação do edital; prazos para envio de documentos e cumprimento de diligências no âmbito do processo de licitação; prazos para apresentação de razões de recurso e contrarrazões, contados a partir do registro da intenção de recurso (para</w:t>
      </w:r>
      <w:r>
        <w:rPr>
          <w:spacing w:val="40"/>
          <w:sz w:val="24"/>
        </w:rPr>
        <w:t> </w:t>
      </w:r>
      <w:r>
        <w:rPr>
          <w:sz w:val="24"/>
        </w:rPr>
        <w:t>razões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recurso)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apresentação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recurso</w:t>
      </w:r>
      <w:r>
        <w:rPr>
          <w:spacing w:val="29"/>
          <w:sz w:val="24"/>
        </w:rPr>
        <w:t> </w:t>
      </w:r>
      <w:r>
        <w:rPr>
          <w:sz w:val="24"/>
        </w:rPr>
        <w:t>(para</w:t>
      </w:r>
      <w:r>
        <w:rPr>
          <w:spacing w:val="31"/>
          <w:sz w:val="24"/>
        </w:rPr>
        <w:t> </w:t>
      </w:r>
      <w:r>
        <w:rPr>
          <w:sz w:val="24"/>
        </w:rPr>
        <w:t>contrarrazões);</w:t>
      </w:r>
      <w:r>
        <w:rPr>
          <w:spacing w:val="32"/>
          <w:sz w:val="24"/>
        </w:rPr>
        <w:t> </w:t>
      </w:r>
      <w:r>
        <w:rPr>
          <w:sz w:val="24"/>
        </w:rPr>
        <w:t>prazo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7" w:footer="0" w:top="1320" w:bottom="280" w:left="1600" w:right="1580"/>
        </w:sectPr>
      </w:pPr>
    </w:p>
    <w:p>
      <w:pPr>
        <w:spacing w:before="93"/>
        <w:ind w:left="824" w:right="129" w:firstLine="0"/>
        <w:jc w:val="both"/>
        <w:rPr>
          <w:sz w:val="24"/>
        </w:rPr>
      </w:pPr>
      <w:r>
        <w:rPr>
          <w:sz w:val="24"/>
        </w:rPr>
        <w:t>para decisão de recurso; prazos para assinatura de contrato ou ata de registro de preços; prazos para entrega, recebimento provisório, substituição e recebimento</w:t>
      </w:r>
      <w:r>
        <w:rPr>
          <w:spacing w:val="-1"/>
          <w:sz w:val="24"/>
        </w:rPr>
        <w:t> </w:t>
      </w:r>
      <w:r>
        <w:rPr>
          <w:sz w:val="24"/>
        </w:rPr>
        <w:t>definitivo; prazos para apresentação de defesa</w:t>
      </w:r>
      <w:r>
        <w:rPr>
          <w:spacing w:val="-1"/>
          <w:sz w:val="24"/>
        </w:rPr>
        <w:t> </w:t>
      </w:r>
      <w:r>
        <w:rPr>
          <w:sz w:val="24"/>
        </w:rPr>
        <w:t>prévia à</w:t>
      </w:r>
      <w:r>
        <w:rPr>
          <w:spacing w:val="-1"/>
          <w:sz w:val="24"/>
        </w:rPr>
        <w:t> </w:t>
      </w:r>
      <w:r>
        <w:rPr>
          <w:sz w:val="24"/>
        </w:rPr>
        <w:t>imposição de penalidade.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124" w:hanging="360"/>
        <w:jc w:val="both"/>
        <w:rPr>
          <w:sz w:val="24"/>
        </w:rPr>
      </w:pPr>
      <w:r>
        <w:rPr>
          <w:sz w:val="24"/>
        </w:rPr>
        <w:t>%QtdContrataçõesOK = Quantidade de contratações dentro do prazo especificado no PCA/Total de contratações realizadas. Anotação: A prática de encaminhamento</w:t>
      </w:r>
      <w:r>
        <w:rPr>
          <w:spacing w:val="-5"/>
          <w:sz w:val="24"/>
        </w:rPr>
        <w:t> </w:t>
      </w:r>
      <w:r>
        <w:rPr>
          <w:sz w:val="24"/>
        </w:rPr>
        <w:t>tardio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processos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abertura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licitações,</w:t>
      </w:r>
      <w:r>
        <w:rPr>
          <w:spacing w:val="-4"/>
          <w:sz w:val="24"/>
        </w:rPr>
        <w:t> </w:t>
      </w:r>
      <w:r>
        <w:rPr>
          <w:sz w:val="24"/>
        </w:rPr>
        <w:t>concentrados no final de cada exercício, é prejudicial à apuração da métrica proposta. A instrução poderia, de outro modo, observar os prazos de conclusão da fase interna e da conclusão do processo para contratação, nos moldes do sistema PGC – Planejamento e Gerenciamento de Contratações (módulo do sistema Compras para registro e aprovação do PCA)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366"/>
      </w:tblGrid>
      <w:tr>
        <w:trPr>
          <w:trHeight w:val="33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Ficha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elaborada</w:t>
            </w:r>
            <w:r>
              <w:rPr>
                <w:b/>
                <w:spacing w:val="-5"/>
                <w:sz w:val="22"/>
              </w:rPr>
              <w:t> por</w:t>
            </w:r>
          </w:p>
        </w:tc>
        <w:tc>
          <w:tcPr>
            <w:tcW w:w="6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Jairo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Oliveira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Ramos</w:t>
            </w:r>
          </w:p>
        </w:tc>
      </w:tr>
      <w:tr>
        <w:trPr>
          <w:trHeight w:val="330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Data</w:t>
            </w:r>
          </w:p>
        </w:tc>
        <w:tc>
          <w:tcPr>
            <w:tcW w:w="6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17/12/2022</w:t>
            </w:r>
          </w:p>
        </w:tc>
      </w:tr>
      <w:tr>
        <w:trPr>
          <w:trHeight w:val="329" w:hRule="atLeast"/>
        </w:trPr>
        <w:tc>
          <w:tcPr>
            <w:tcW w:w="212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Versão</w:t>
            </w:r>
          </w:p>
        </w:tc>
        <w:tc>
          <w:tcPr>
            <w:tcW w:w="6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sectPr>
      <w:pgSz w:w="11910" w:h="16840"/>
      <w:pgMar w:header="707" w:footer="0"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1080135</wp:posOffset>
          </wp:positionH>
          <wp:positionV relativeFrom="page">
            <wp:posOffset>448954</wp:posOffset>
          </wp:positionV>
          <wp:extent cx="948054" cy="36258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054" cy="362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7pt;margin-top:36.900772pt;width:263.150pt;height:18pt;mso-position-horizontal-relative:page;mso-position-vertical-relative:page;z-index:-15804928" type="#_x0000_t202" id="docshape1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FICHA</w:t>
                </w:r>
                <w:r>
                  <w:rPr>
                    <w:b/>
                    <w:spacing w:val="-4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DE</w:t>
                </w:r>
                <w:r>
                  <w:rPr>
                    <w:b/>
                    <w:spacing w:val="-3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MAPEAMENTO</w:t>
                </w:r>
                <w:r>
                  <w:rPr>
                    <w:b/>
                    <w:spacing w:val="-4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DE</w:t>
                </w:r>
                <w:r>
                  <w:rPr>
                    <w:b/>
                    <w:spacing w:val="-3"/>
                    <w:sz w:val="32"/>
                  </w:rPr>
                  <w:t> </w:t>
                </w:r>
                <w:r>
                  <w:rPr>
                    <w:b/>
                    <w:spacing w:val="-2"/>
                    <w:sz w:val="32"/>
                  </w:rPr>
                  <w:t>PROCESSO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0" w:hanging="426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w w:val="87"/>
        <w:sz w:val="28"/>
        <w:szCs w:val="28"/>
        <w:shd w:fill="D8D8D8" w:color="auto" w:val="clear"/>
        <w:lang w:val="pt-PT" w:eastAsia="en-US" w:bidi="ar-SA"/>
      </w:rPr>
    </w:lvl>
    <w:lvl w:ilvl="1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24" w:hanging="3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76" w:hanging="3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5" w:hanging="3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33" w:hanging="3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12" w:hanging="3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90" w:hanging="3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69" w:hanging="32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30" w:hanging="426"/>
      <w:outlineLvl w:val="1"/>
    </w:pPr>
    <w:rPr>
      <w:rFonts w:ascii="Tahoma" w:hAnsi="Tahoma" w:eastAsia="Tahoma" w:cs="Tahoma"/>
      <w:b/>
      <w:bCs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6" w:lineRule="exact"/>
      <w:ind w:left="20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30" w:hanging="426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11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na@jfse.jus.br" TargetMode="External"/><Relationship Id="rId7" Type="http://schemas.openxmlformats.org/officeDocument/2006/relationships/hyperlink" Target="mailto:willams.noia@jfse.jus.br" TargetMode="External"/><Relationship Id="rId8" Type="http://schemas.openxmlformats.org/officeDocument/2006/relationships/hyperlink" Target="https://www.planalto.gov.br/ccivil_03/leis/l8666cons.htm" TargetMode="External"/><Relationship Id="rId9" Type="http://schemas.openxmlformats.org/officeDocument/2006/relationships/hyperlink" Target="https://www.planalto.gov.br/ccivil_03/_ato2019-2022/2019/decreto/d10024.htm" TargetMode="External"/><Relationship Id="rId10" Type="http://schemas.openxmlformats.org/officeDocument/2006/relationships/hyperlink" Target="https://www.planalto.gov.br/ccivil_03/leis/lcp/lcp123.htm" TargetMode="External"/><Relationship Id="rId11" Type="http://schemas.openxmlformats.org/officeDocument/2006/relationships/hyperlink" Target="https://www.planalto.gov.br/ccivil_03/_ato2011-2014/2013/decreto/d7892.htm" TargetMode="External"/><Relationship Id="rId12" Type="http://schemas.openxmlformats.org/officeDocument/2006/relationships/hyperlink" Target="https://www.gov.br/agu/pt-br/composicao/cgu/cgu/modelos/licitacoesecontratos" TargetMode="External"/><Relationship Id="rId13" Type="http://schemas.openxmlformats.org/officeDocument/2006/relationships/hyperlink" Target="https://catalogo.compras.gov.br/cnbs-web/busca" TargetMode="External"/><Relationship Id="rId14" Type="http://schemas.openxmlformats.org/officeDocument/2006/relationships/hyperlink" Target="https://sip.trf5.jus.br/sip/login.php?sigla_orgao_sistema=TRF5&amp;sigla_sistema=SEI" TargetMode="External"/><Relationship Id="rId15" Type="http://schemas.openxmlformats.org/officeDocument/2006/relationships/hyperlink" Target="https://www.gestaodeacesso.comprasgovernamentais.gov.br/login" TargetMode="External"/><Relationship Id="rId16" Type="http://schemas.openxmlformats.org/officeDocument/2006/relationships/hyperlink" Target="https://www.gov.br/compras/pt-br/" TargetMode="External"/><Relationship Id="rId17" Type="http://schemas.openxmlformats.org/officeDocument/2006/relationships/hyperlink" Target="https://www.gov.br/compras/pt-br/acesso-a-informacao/cursos-e-capacitacoes/cursos-e-capacitacoes" TargetMode="External"/><Relationship Id="rId18" Type="http://schemas.openxmlformats.org/officeDocument/2006/relationships/hyperlink" Target="https://www.gov.br/compras/pt-br/acesso-a-informacao/consulta-detalhada" TargetMode="External"/><Relationship Id="rId19" Type="http://schemas.openxmlformats.org/officeDocument/2006/relationships/hyperlink" Target="https://contratos.comprasnet.gov.br/transparencia?unidade=090011" TargetMode="External"/><Relationship Id="rId20" Type="http://schemas.openxmlformats.org/officeDocument/2006/relationships/hyperlink" Target="https://www2.comprasnet.gov.br/siasgnet-atasrp/public/principal.do" TargetMode="External"/><Relationship Id="rId2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 Monteiro</dc:creator>
  <dcterms:created xsi:type="dcterms:W3CDTF">2023-02-17T22:42:21Z</dcterms:created>
  <dcterms:modified xsi:type="dcterms:W3CDTF">2023-02-17T22:42:21Z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2022-12-17T00:00:00Z</vt:filetime>
  </property>
</Properties>
</file>